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color w:val="000000"/>
          <w:highlight w:val="none"/>
          <w:lang w:eastAsia="zh-CN"/>
        </w:rPr>
      </w:pPr>
      <w:r>
        <w:rPr>
          <w:rFonts w:hint="eastAsia" w:eastAsia="宋体"/>
          <w:color w:val="000000"/>
          <w:highlight w:val="none"/>
          <w:lang w:eastAsia="zh-CN"/>
        </w:rPr>
      </w:r>
      <w:r/>
    </w:p>
    <w:p>
      <w:pPr>
        <w:jc w:val="right"/>
        <w:rPr>
          <w:color w:val="000000"/>
          <w:highlight w:val="none"/>
        </w:rPr>
      </w:pPr>
      <w:r>
        <w:rPr>
          <w:color w:val="000000"/>
          <w:highlight w:val="none"/>
        </w:rPr>
      </w:r>
      <w:r/>
    </w:p>
    <w:p>
      <w:pPr>
        <w:rPr>
          <w:color w:val="000000"/>
          <w:highlight w:val="none"/>
        </w:rPr>
      </w:pPr>
      <w:r>
        <w:rPr>
          <w:color w:val="000000"/>
          <w:highlight w:val="none"/>
        </w:rPr>
      </w:r>
      <w:r/>
    </w:p>
    <w:p>
      <w:pPr>
        <w:pStyle w:val="875"/>
        <w:rPr>
          <w:color w:val="000000"/>
          <w:highlight w:val="none"/>
        </w:rPr>
      </w:pPr>
      <w:r>
        <w:rPr>
          <w:color w:val="000000"/>
          <w:highlight w:val="none"/>
        </w:rPr>
      </w:r>
      <w:r/>
    </w:p>
    <w:p>
      <w:pPr>
        <w:pStyle w:val="898"/>
        <w:rPr>
          <w:color w:val="000000"/>
          <w:highlight w:val="none"/>
        </w:rPr>
      </w:pPr>
      <w:r>
        <w:rPr>
          <w:color w:val="000000"/>
          <w:highlight w:val="none"/>
        </w:rPr>
      </w:r>
      <w:r/>
    </w:p>
    <w:p>
      <w:pPr>
        <w:pStyle w:val="900"/>
        <w:rPr>
          <w:color w:val="000000"/>
          <w:highlight w:val="none"/>
        </w:rPr>
      </w:pPr>
      <w:r>
        <w:rPr>
          <w:color w:val="000000"/>
          <w:highlight w:val="none"/>
        </w:rPr>
      </w:r>
      <w:r/>
    </w:p>
    <w:p>
      <w:pPr>
        <w:ind w:firstLine="320"/>
        <w:jc w:val="right"/>
        <w:rPr>
          <w:color w:val="000000"/>
          <w:highlight w:val="none"/>
        </w:rPr>
      </w:pPr>
      <w:r>
        <w:rPr>
          <w:rFonts w:hint="eastAsia" w:ascii="仿宋" w:hAnsi="仿宋" w:eastAsia="仿宋" w:cs="仿宋"/>
          <w:color w:val="000000"/>
          <w:sz w:val="32"/>
          <w:highlight w:val="none"/>
        </w:rPr>
        <w:t xml:space="preserve">           </w:t>
      </w:r>
      <w:r/>
    </w:p>
    <w:p>
      <w:pPr>
        <w:jc w:val="center"/>
        <w:rPr>
          <w:rFonts w:hint="eastAsia" w:ascii="宋体" w:hAnsi="宋体" w:cs="宋体"/>
          <w:b/>
          <w:bCs/>
          <w:color w:val="000000"/>
          <w:sz w:val="28"/>
          <w:szCs w:val="28"/>
          <w:highlight w:val="none"/>
        </w:rPr>
      </w:pPr>
      <w:r>
        <w:rPr>
          <w:rFonts w:hint="eastAsia" w:ascii="宋体" w:hAnsi="宋体" w:cs="宋体"/>
          <w:color w:val="000000"/>
          <w:spacing w:val="76"/>
          <w:sz w:val="112"/>
          <w:szCs w:val="22"/>
          <w:highlight w:val="none"/>
        </w:rPr>
        <w:t xml:space="preserve">招标文件</w:t>
      </w:r>
      <w:r/>
    </w:p>
    <w:p>
      <w:pPr>
        <w:jc w:val="both"/>
        <w:spacing w:line="5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jc w:val="both"/>
        <w:spacing w:line="5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jc w:val="both"/>
        <w:spacing w:line="5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jc w:val="both"/>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ind w:firstLine="602"/>
        <w:jc w:val="both"/>
        <w:spacing w:line="360" w:lineRule="auto"/>
        <w:rPr>
          <w:rFonts w:hint="eastAsia" w:ascii="宋体" w:hAnsi="宋体" w:cs="宋体"/>
          <w:b/>
          <w:bCs/>
          <w:color w:val="000000"/>
          <w:sz w:val="30"/>
          <w:szCs w:val="30"/>
          <w:highlight w:val="none"/>
          <w:lang w:eastAsia="zh-CN"/>
        </w:rPr>
      </w:pPr>
      <w:r>
        <w:rPr>
          <w:rFonts w:hint="eastAsia" w:ascii="宋体" w:hAnsi="宋体" w:cs="宋体"/>
          <w:b/>
          <w:bCs/>
          <w:color w:val="000000"/>
          <w:sz w:val="30"/>
          <w:szCs w:val="30"/>
          <w:highlight w:val="none"/>
        </w:rPr>
        <w:t xml:space="preserve">项目名称：</w:t>
      </w:r>
      <w:r>
        <w:rPr>
          <w:rFonts w:hint="eastAsia" w:ascii="宋体" w:hAnsi="宋体" w:cs="宋体"/>
          <w:b/>
          <w:bCs/>
          <w:color w:val="000000"/>
          <w:sz w:val="30"/>
          <w:szCs w:val="30"/>
          <w:highlight w:val="none"/>
          <w:lang w:eastAsia="zh-CN"/>
        </w:rPr>
        <w:t xml:space="preserve">2025年贾汪城区垃圾分类收集房采购项目</w:t>
      </w:r>
      <w:r/>
    </w:p>
    <w:p>
      <w:pPr>
        <w:ind w:firstLine="602"/>
        <w:jc w:val="both"/>
        <w:spacing w:line="360" w:lineRule="auto"/>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rPr>
        <w:t xml:space="preserve">项目编号：JSZC-320305-HKJT-G2025-0021</w:t>
      </w:r>
      <w:r>
        <w:rPr>
          <w:rFonts w:hint="eastAsia" w:ascii="宋体" w:hAnsi="宋体" w:cs="宋体"/>
          <w:b/>
          <w:bCs/>
          <w:color w:val="000000"/>
          <w:sz w:val="30"/>
          <w:szCs w:val="30"/>
          <w:highlight w:val="none"/>
          <w:lang w:val="en-US" w:eastAsia="zh-CN"/>
        </w:rPr>
        <w:t xml:space="preserve"> </w:t>
      </w:r>
      <w:r/>
    </w:p>
    <w:p>
      <w:pPr>
        <w:ind w:firstLine="602"/>
        <w:spacing w:line="360" w:lineRule="auto"/>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lang w:val="en-US" w:eastAsia="zh-CN"/>
        </w:rPr>
        <w:t xml:space="preserve">采 购 人</w:t>
      </w:r>
      <w:r>
        <w:rPr>
          <w:rFonts w:hint="eastAsia" w:ascii="宋体" w:hAnsi="宋体" w:cs="宋体"/>
          <w:b/>
          <w:bCs/>
          <w:color w:val="000000"/>
          <w:sz w:val="30"/>
          <w:szCs w:val="30"/>
          <w:highlight w:val="none"/>
        </w:rPr>
        <w:t xml:space="preserve">：</w:t>
      </w:r>
      <w:r>
        <w:rPr>
          <w:rFonts w:hint="eastAsia" w:ascii="宋体" w:hAnsi="宋体" w:cs="宋体"/>
          <w:b/>
          <w:bCs/>
          <w:color w:val="000000"/>
          <w:sz w:val="30"/>
          <w:szCs w:val="30"/>
          <w:highlight w:val="none"/>
          <w:lang w:eastAsia="zh-CN"/>
        </w:rPr>
        <w:t xml:space="preserve">徐州市贾汪区城市管理局</w:t>
      </w:r>
      <w:r/>
    </w:p>
    <w:p>
      <w:pPr>
        <w:pStyle w:val="863"/>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63"/>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63"/>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63"/>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63"/>
        <w:ind w:left="0" w:right="147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63"/>
        <w:ind w:left="0" w:right="147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63"/>
        <w:ind w:left="0" w:right="147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863"/>
        <w:ind w:left="0" w:right="147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1205"/>
        <w:spacing w:line="360" w:lineRule="auto"/>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rPr>
        <w:t xml:space="preserve">采购代理机构：</w:t>
      </w:r>
      <w:r>
        <w:rPr>
          <w:rFonts w:hint="eastAsia" w:ascii="宋体" w:hAnsi="宋体" w:cs="宋体"/>
          <w:b/>
          <w:bCs/>
          <w:color w:val="000000"/>
          <w:sz w:val="30"/>
          <w:szCs w:val="30"/>
          <w:highlight w:val="none"/>
          <w:lang w:eastAsia="zh-CN"/>
        </w:rPr>
        <w:t xml:space="preserve">江苏泓科工程咨询集团有限公司</w:t>
      </w:r>
      <w:r/>
    </w:p>
    <w:p>
      <w:pPr>
        <w:pStyle w:val="987"/>
        <w:ind w:firstLine="0"/>
        <w:jc w:val="center"/>
        <w:spacing w:line="360" w:lineRule="auto"/>
        <w:rPr>
          <w:rFonts w:hint="eastAsia" w:ascii="宋体" w:hAnsi="宋体" w:cs="宋体"/>
          <w:b/>
          <w:color w:val="000000"/>
          <w:sz w:val="44"/>
          <w:highlight w:val="none"/>
        </w:rPr>
      </w:pPr>
      <w:r>
        <w:rPr>
          <w:rFonts w:hint="eastAsia" w:ascii="宋体" w:hAnsi="宋体" w:cs="宋体"/>
          <w:b/>
          <w:bCs/>
          <w:color w:val="000000"/>
          <w:sz w:val="30"/>
          <w:szCs w:val="30"/>
          <w:highlight w:val="none"/>
        </w:rPr>
        <w:t xml:space="preserve">二〇二</w:t>
      </w:r>
      <w:r>
        <w:rPr>
          <w:rFonts w:hint="eastAsia" w:ascii="宋体" w:hAnsi="宋体" w:cs="宋体"/>
          <w:b/>
          <w:bCs/>
          <w:color w:val="000000"/>
          <w:sz w:val="30"/>
          <w:szCs w:val="30"/>
          <w:highlight w:val="none"/>
          <w:lang w:val="en-US" w:eastAsia="zh-CN"/>
        </w:rPr>
        <w:t xml:space="preserve">五</w:t>
      </w:r>
      <w:r>
        <w:rPr>
          <w:rFonts w:hint="eastAsia" w:ascii="宋体" w:hAnsi="宋体" w:cs="宋体"/>
          <w:b/>
          <w:bCs/>
          <w:color w:val="000000"/>
          <w:sz w:val="30"/>
          <w:szCs w:val="30"/>
          <w:highlight w:val="none"/>
        </w:rPr>
        <w:t xml:space="preserve">年</w:t>
      </w:r>
      <w:r>
        <w:rPr>
          <w:rFonts w:hint="eastAsia" w:ascii="宋体" w:hAnsi="宋体" w:cs="宋体"/>
          <w:b/>
          <w:bCs/>
          <w:color w:val="000000"/>
          <w:sz w:val="30"/>
          <w:szCs w:val="30"/>
          <w:highlight w:val="none"/>
          <w:lang w:val="en-US" w:eastAsia="zh-CN"/>
        </w:rPr>
        <w:t xml:space="preserve">十一</w:t>
      </w:r>
      <w:r>
        <w:rPr>
          <w:rFonts w:hint="eastAsia" w:ascii="宋体" w:hAnsi="宋体" w:cs="宋体"/>
          <w:b/>
          <w:bCs/>
          <w:color w:val="000000"/>
          <w:sz w:val="30"/>
          <w:szCs w:val="30"/>
          <w:highlight w:val="none"/>
        </w:rPr>
        <w:t xml:space="preserve">月</w:t>
      </w:r>
      <w:r/>
    </w:p>
    <w:p>
      <w:pPr>
        <w:pStyle w:val="987"/>
        <w:ind w:firstLine="0"/>
        <w:jc w:val="center"/>
        <w:rPr>
          <w:rFonts w:hint="eastAsia" w:ascii="宋体" w:hAnsi="宋体" w:cs="宋体"/>
          <w:b/>
          <w:color w:val="000000"/>
          <w:sz w:val="44"/>
          <w:highlight w:val="none"/>
        </w:rPr>
        <w:sectPr>
          <w:headerReference w:type="default" r:id="rId9"/>
          <w:footerReference w:type="default" r:id="rId13"/>
          <w:footerReference w:type="even" r:id="rId14"/>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hint="eastAsia" w:ascii="宋体" w:hAnsi="宋体" w:cs="宋体"/>
          <w:b/>
          <w:color w:val="000000"/>
          <w:sz w:val="44"/>
          <w:highlight w:val="none"/>
        </w:rPr>
      </w:r>
      <w:r/>
    </w:p>
    <w:p>
      <w:pPr>
        <w:pStyle w:val="987"/>
        <w:ind w:firstLine="0"/>
        <w:jc w:val="center"/>
        <w:rPr>
          <w:rFonts w:hint="eastAsia" w:ascii="宋体" w:hAnsi="宋体" w:cs="宋体"/>
          <w:color w:val="000000"/>
          <w:sz w:val="44"/>
          <w:highlight w:val="none"/>
        </w:rPr>
      </w:pPr>
      <w:r>
        <w:rPr>
          <w:rFonts w:hint="eastAsia" w:ascii="宋体" w:hAnsi="宋体" w:cs="宋体"/>
          <w:color w:val="000000"/>
          <w:sz w:val="44"/>
          <w:highlight w:val="none"/>
        </w:rPr>
        <w:t xml:space="preserve">总目录</w:t>
      </w:r>
      <w:r/>
    </w:p>
    <w:p>
      <w:pP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第一章 投标邀请</w:t>
      </w:r>
      <w:r/>
    </w:p>
    <w:p>
      <w:pP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第二章 投标人须知</w:t>
      </w:r>
      <w:r/>
    </w:p>
    <w:p>
      <w:pP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第三章 投标资料表</w:t>
      </w:r>
      <w:r/>
    </w:p>
    <w:p>
      <w:pP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第四章 评标标准</w:t>
      </w:r>
      <w:r/>
    </w:p>
    <w:p>
      <w:pP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第五章 拟签订的合同文本</w:t>
      </w:r>
      <w:r/>
    </w:p>
    <w:p>
      <w:pP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第六章 采购需求</w:t>
      </w:r>
      <w:r/>
    </w:p>
    <w:p>
      <w:pPr>
        <w:spacing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第七章 投标文件相关格式</w:t>
      </w: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jc w:val="left"/>
        <w:widowControl/>
        <w:rPr>
          <w:rFonts w:hint="eastAsia" w:ascii="宋体" w:hAnsi="宋体" w:cs="宋体"/>
          <w:color w:val="000000"/>
          <w:sz w:val="28"/>
          <w:szCs w:val="28"/>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8"/>
          <w:szCs w:val="28"/>
          <w:highlight w:val="none"/>
        </w:rPr>
      </w:r>
      <w:r/>
    </w:p>
    <w:p>
      <w:pPr>
        <w:jc w:val="center"/>
        <w:spacing w:line="360" w:lineRule="auto"/>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t xml:space="preserve">第一章  投标邀请</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u w:val="single"/>
          <w:lang w:eastAsia="zh-CN"/>
        </w:rPr>
        <w:t xml:space="preserve">江苏泓科工程咨询集团有限公司</w:t>
      </w:r>
      <w:r>
        <w:rPr>
          <w:rFonts w:hint="eastAsia" w:ascii="仿宋" w:hAnsi="仿宋" w:eastAsia="仿宋" w:cs="仿宋"/>
          <w:color w:val="000000"/>
          <w:sz w:val="28"/>
          <w:szCs w:val="28"/>
          <w:highlight w:val="none"/>
        </w:rPr>
        <w:t xml:space="preserve">对</w:t>
      </w:r>
      <w:r>
        <w:rPr>
          <w:rFonts w:hint="eastAsia" w:ascii="仿宋" w:hAnsi="仿宋" w:eastAsia="仿宋" w:cs="仿宋"/>
          <w:b/>
          <w:bCs/>
          <w:color w:val="000000"/>
          <w:sz w:val="28"/>
          <w:szCs w:val="28"/>
          <w:highlight w:val="none"/>
          <w:u w:val="single"/>
          <w:lang w:eastAsia="zh-CN"/>
        </w:rPr>
        <w:t xml:space="preserve">2025年贾汪城区垃圾分类收集房采购项目</w:t>
      </w:r>
      <w:r>
        <w:rPr>
          <w:rFonts w:hint="eastAsia" w:ascii="仿宋" w:hAnsi="仿宋" w:eastAsia="仿宋" w:cs="仿宋"/>
          <w:color w:val="000000"/>
          <w:sz w:val="28"/>
          <w:szCs w:val="28"/>
          <w:highlight w:val="none"/>
        </w:rPr>
        <w:t xml:space="preserve">进行公开招标采购，现欢迎符合相关条件的供应商投标。</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一、项目名称和项目编号</w:t>
      </w:r>
      <w:r/>
    </w:p>
    <w:p>
      <w:pPr>
        <w:ind w:firstLine="48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2025年贾汪城区垃圾分类收集房采购项目</w:t>
      </w:r>
      <w:r/>
    </w:p>
    <w:p>
      <w:pPr>
        <w:ind w:firstLine="48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项目编号：JSZC-320305-HKJT-G2025-0021</w:t>
      </w:r>
      <w:r>
        <w:rPr>
          <w:rFonts w:hint="eastAsia" w:ascii="仿宋" w:hAnsi="仿宋" w:eastAsia="仿宋" w:cs="仿宋"/>
          <w:color w:val="000000"/>
          <w:sz w:val="28"/>
          <w:szCs w:val="28"/>
          <w:highlight w:val="none"/>
          <w:lang w:val="en-US" w:eastAsia="zh-CN"/>
        </w:rPr>
        <w:t xml:space="preserve"> </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二、投标人的资格要求：</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见本项目公开招标公告。</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三、获取招标文件</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本项目采用网上注册登记方式。</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潜在投标人访问电子招标投标交易平台的网络地址和方法：</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2"/>
        <w:jc w:val="left"/>
        <w:keepLines w:val="0"/>
        <w:keepNext w:val="0"/>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（3）“CA数字证书”的获取：</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（5）招标代理机构（采购代理机构）将数据电文形式的招标文件加载至“苏采云”系统，供潜在投标人下载或者查阅。</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3.“苏采云”系统使用谷歌浏览器参与不见面开标。</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4.售价：免费。</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四、投标有关信息</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1.投标截止时间：202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月10日北京时间</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0</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2.开标时间：202</w:t>
      </w: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年12月</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日北京时间</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0</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3.开标地点：“苏采云”系统（网址： http://jszfcg.jsczt.cn/）“开标大厅”或进入徐州政府采购网（网址：http://czj.xz.gov.cn/Home/HomeIndex）-业务工作-用户登录，点击“苏采云”进入系统“开标大厅”。</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五、采购人</w:t>
      </w:r>
      <w:r/>
    </w:p>
    <w:p>
      <w:pPr>
        <w:ind w:firstLine="48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徐州市贾汪区城市管理局</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地址：徐州市贾汪区206国道西侧</w:t>
      </w:r>
      <w:r/>
    </w:p>
    <w:p>
      <w:pPr>
        <w:ind w:firstLine="480"/>
        <w:spacing w:line="360" w:lineRule="auto"/>
        <w:rPr>
          <w:rFonts w:hint="eastAsia" w:ascii="仿宋" w:hAnsi="仿宋" w:eastAsia="仿宋" w:cs="仿宋"/>
          <w:color w:val="000000"/>
          <w:sz w:val="28"/>
          <w:szCs w:val="28"/>
          <w:highlight w:val="none"/>
          <w:lang w:val="en-US"/>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联系方法：</w:t>
      </w:r>
      <w:r>
        <w:rPr>
          <w:rFonts w:hint="eastAsia" w:ascii="宋体" w:hAnsi="宋体" w:eastAsia="宋体" w:cs="宋体"/>
          <w:i w:val="0"/>
          <w:caps w:val="0"/>
          <w:color w:val="333333"/>
          <w:spacing w:val="0"/>
          <w:sz w:val="28"/>
          <w:szCs w:val="28"/>
        </w:rPr>
        <w:t xml:space="preserve">19962708799</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采购项目联系人：段全义   电话：</w:t>
      </w:r>
      <w:r>
        <w:rPr>
          <w:rFonts w:hint="eastAsia" w:ascii="仿宋" w:hAnsi="仿宋" w:eastAsia="仿宋" w:cs="仿宋"/>
          <w:i w:val="0"/>
          <w:caps w:val="0"/>
          <w:color w:val="000000"/>
          <w:spacing w:val="0"/>
          <w:sz w:val="28"/>
          <w:szCs w:val="28"/>
          <w:highlight w:val="none"/>
          <w:shd w:val="clear" w:color="auto" w:fill="ffffff"/>
          <w:lang w:val="en-US" w:eastAsia="zh-CN" w:bidi="ar"/>
        </w:rPr>
        <w:t xml:space="preserve"> </w:t>
      </w:r>
      <w:r>
        <w:rPr>
          <w:rFonts w:hint="eastAsia" w:ascii="宋体" w:hAnsi="宋体" w:eastAsia="宋体" w:cs="宋体"/>
          <w:i w:val="0"/>
          <w:caps w:val="0"/>
          <w:color w:val="333333"/>
          <w:spacing w:val="0"/>
          <w:sz w:val="28"/>
          <w:szCs w:val="28"/>
        </w:rPr>
        <w:t xml:space="preserve">19962708799</w:t>
      </w:r>
      <w:r>
        <w:rPr>
          <w:rFonts w:hint="eastAsia" w:ascii="仿宋" w:hAnsi="仿宋" w:eastAsia="仿宋" w:cs="仿宋"/>
          <w:color w:val="000000"/>
          <w:sz w:val="28"/>
          <w:szCs w:val="28"/>
          <w:highlight w:val="non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六、采购代理机构</w:t>
      </w:r>
      <w:r/>
    </w:p>
    <w:p>
      <w:pPr>
        <w:ind w:firstLine="48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lang w:eastAsia="zh-CN"/>
        </w:rPr>
        <w:t xml:space="preserve">江苏泓科工程咨询集团有限公司</w:t>
      </w:r>
      <w:r/>
    </w:p>
    <w:p>
      <w:pPr>
        <w:ind w:firstLine="48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地址：</w:t>
      </w:r>
      <w:r>
        <w:rPr>
          <w:rFonts w:hint="eastAsia" w:ascii="宋体" w:hAnsi="宋体" w:eastAsia="宋体" w:cs="宋体"/>
          <w:i w:val="0"/>
          <w:caps w:val="0"/>
          <w:color w:val="333333"/>
          <w:spacing w:val="0"/>
          <w:sz w:val="28"/>
          <w:szCs w:val="28"/>
        </w:rPr>
        <w:t xml:space="preserve">徐州市云龙区绿地商务城B3-3地块3号楼1单元2201</w:t>
      </w:r>
      <w:r/>
    </w:p>
    <w:p>
      <w:pPr>
        <w:ind w:firstLine="48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联系方法：</w:t>
      </w:r>
      <w:r>
        <w:rPr>
          <w:rFonts w:hint="eastAsia" w:ascii="宋体" w:hAnsi="宋体" w:eastAsia="宋体" w:cs="宋体"/>
          <w:i w:val="0"/>
          <w:caps w:val="0"/>
          <w:color w:val="333333"/>
          <w:spacing w:val="0"/>
          <w:sz w:val="28"/>
          <w:szCs w:val="28"/>
        </w:rPr>
        <w:t xml:space="preserve">0516-83200960</w:t>
      </w:r>
      <w:r/>
    </w:p>
    <w:p>
      <w:pPr>
        <w:ind w:firstLine="48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采购项目联系人：</w:t>
      </w:r>
      <w:r>
        <w:rPr>
          <w:rFonts w:hint="eastAsia" w:ascii="仿宋" w:hAnsi="仿宋" w:eastAsia="仿宋" w:cs="仿宋"/>
          <w:color w:val="000000"/>
          <w:sz w:val="28"/>
          <w:szCs w:val="28"/>
          <w:highlight w:val="none"/>
          <w:lang w:val="en-US" w:eastAsia="zh-CN"/>
        </w:rPr>
        <w:t xml:space="preserve">蒋旭</w:t>
      </w:r>
      <w:r>
        <w:rPr>
          <w:rFonts w:hint="eastAsia" w:ascii="仿宋" w:hAnsi="仿宋" w:eastAsia="仿宋" w:cs="仿宋"/>
          <w:color w:val="000000"/>
          <w:sz w:val="28"/>
          <w:szCs w:val="28"/>
          <w:highlight w:val="none"/>
        </w:rPr>
        <w:t xml:space="preserve">   电话：</w:t>
      </w:r>
      <w:r>
        <w:rPr>
          <w:rFonts w:hint="eastAsia" w:ascii="宋体" w:hAnsi="宋体" w:eastAsia="宋体" w:cs="宋体"/>
          <w:i w:val="0"/>
          <w:caps w:val="0"/>
          <w:color w:val="333333"/>
          <w:spacing w:val="0"/>
          <w:sz w:val="28"/>
          <w:szCs w:val="28"/>
        </w:rPr>
        <w:t xml:space="preserve">0516-83200960</w:t>
      </w:r>
      <w:r/>
    </w:p>
    <w:p>
      <w:pPr>
        <w:ind w:firstLine="48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right"/>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w:t>
      </w:r>
      <w:r/>
    </w:p>
    <w:p>
      <w:pPr>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color w:val="000000"/>
          <w:sz w:val="32"/>
          <w:szCs w:val="32"/>
          <w:highlight w:val="none"/>
          <w:u w:val="single"/>
        </w:rPr>
        <w:br w:type="page" w:clear="all"/>
      </w:r>
      <w:r>
        <w:rPr>
          <w:rFonts w:hint="eastAsia" w:ascii="宋体" w:hAnsi="宋体" w:eastAsia="宋体" w:cs="宋体"/>
          <w:b/>
          <w:bCs/>
          <w:color w:val="000000"/>
          <w:sz w:val="40"/>
          <w:szCs w:val="40"/>
          <w:highlight w:val="none"/>
        </w:rPr>
        <w:t xml:space="preserve">第二章  投标人须知</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目录</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一、总则</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二、招标</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三、投标</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四、开标、评标</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五、中标和合同</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六、询问和质疑</w:t>
      </w:r>
      <w:r/>
    </w:p>
    <w:p>
      <w:pPr>
        <w:jc w:val="center"/>
        <w:spacing w:line="360" w:lineRule="auto"/>
        <w:rPr>
          <w:rFonts w:hint="eastAsia" w:ascii="黑体" w:hAnsi="黑体" w:eastAsia="黑体" w:cs="黑体"/>
          <w:b/>
          <w:bCs/>
          <w:color w:val="000000"/>
          <w:sz w:val="28"/>
          <w:szCs w:val="28"/>
          <w:highlight w:val="none"/>
        </w:rPr>
      </w:pPr>
      <w:r>
        <w:rPr>
          <w:rFonts w:hint="eastAsia" w:ascii="仿宋" w:hAnsi="仿宋" w:eastAsia="仿宋" w:cs="仿宋"/>
          <w:color w:val="000000"/>
          <w:sz w:val="32"/>
          <w:szCs w:val="32"/>
          <w:highlight w:val="none"/>
        </w:rPr>
        <w:br w:type="page" w:clear="all"/>
      </w:r>
      <w:r>
        <w:rPr>
          <w:rFonts w:hint="eastAsia" w:ascii="仿宋" w:hAnsi="仿宋" w:eastAsia="仿宋" w:cs="仿宋"/>
          <w:b/>
          <w:bCs/>
          <w:color w:val="000000"/>
          <w:sz w:val="28"/>
          <w:szCs w:val="28"/>
          <w:highlight w:val="none"/>
        </w:rPr>
        <w:t xml:space="preserve">一、总则</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采购人</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1.1采购人是指依法进行政府采购的国家机关、事业单位、团体组织。本项目采购人：见招标文件第三章《投标资料表》。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政府采购方式</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2.1政府采购货物和服务（以下简称货物服务）招标分为公开招标和邀请招标。本次采购采用的政府采购方式：见招标文件第三章《投标资料表》。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采购人应当在货物服务招标投标活动中落实节约能源、保护环境、扶持不发达地区和少数民族地区、促进中小企业发展等政府采购政策。</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 采购人委托采购代理机构代理招标的，采购代理机构应当在采购人委托的范围内依法开展采购活动。本项目采购代理机构：见招标文件第三章《投标资料表》。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 投标费用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6.1 投标人应承担所有与准备和参加投标有关的费用，无论投标的结果如何，采购人和采购代理机构对上述费用不承担任何责任和义务。</w:t>
      </w:r>
      <w:r/>
    </w:p>
    <w:p>
      <w:pPr>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二、招标</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 招标文件的内容</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7.1招标文件包括以下内容：</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第一章 投标邀请</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第二章 投标人须知</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第三章 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第四章 评标标准</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第五章 拟签订的合同文本</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第六章 采购需求</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第七章 投标文件相关格式</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 采购需求：见招标文件第六章《采购需求》。</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 采购项目预算金额、最高限价</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 采购项目预算金额：见招标文件第三章《投标资料表》。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 样品</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10.1本项目对样品的要求：见招标文件第三章《投标资料表》。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 投标有效期</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11.1投标有效期从提交投标文件的截止之日起算。</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11.2投标有效期</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 招标文件售价</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12.1招标文件售价：见招标文件第三章《投标资料表》。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 采购代理机构代理费用的收取标准和方式</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13.1 采购代理机构代理费用的收取标准和方式：见招标文件第三章《投标资料表》。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 现场考察或者开标前答疑会</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14.1 在招标文件提供期限截止后。</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14.2 现场考察：见招标文件第三章《投标资料表》。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14.3开标前答疑会：见招标文件第三章《投标资料表》。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 招标文件的澄清或者修改</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 终止招标</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 投标人信用信息查询渠道及截止时点、信用信息查询记录和证据留存的具体方式、信用信息的使用规则等：见招标文件第三章《投标资料表》。</w:t>
      </w:r>
      <w:r/>
    </w:p>
    <w:p>
      <w:pPr>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三、投标</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18. 投标人</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18.1投标人，是指响应招标、参加投标竞争的法人、其他组织或者自然人。</w:t>
      </w:r>
      <w:r/>
    </w:p>
    <w:p>
      <w:pPr>
        <w:ind w:firstLine="465"/>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18.2 投标人应当遵循公平竞争的原则，不得恶意串通，不得妨碍其他投标人的竞争行为，不得损害采购人或者其他投标人的合法权益。</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18.3投标人的资格要求：见招标文件第三章《投标资料表》。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 投标文件</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19.1 投标人应当按照招标文件的要求编制投标文件。投标文件应当对招标文件提出的要求和条件作出明确响应。</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19.2 投标文件编制要求：见招标文件第三章《投标资料表》。</w:t>
      </w:r>
      <w:r/>
    </w:p>
    <w:p>
      <w:pPr>
        <w:pStyle w:val="863"/>
        <w:ind w:left="0"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19.3电子投标文件其他要求</w:t>
      </w:r>
      <w:r/>
    </w:p>
    <w:p>
      <w:pPr>
        <w:pStyle w:val="863"/>
        <w:ind w:left="0"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（1）电子招标投标交易平台（即“苏采云”系统）相关要求是本招标文件的组成部分。</w:t>
      </w:r>
      <w:r/>
    </w:p>
    <w:p>
      <w:pPr>
        <w:pStyle w:val="863"/>
        <w:ind w:left="0"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（2）投标人应对CA证书妥善保管，如被他人盗用投标，因此带来的结果均由投标人自行承担。</w:t>
      </w:r>
      <w:r/>
    </w:p>
    <w:p>
      <w:pPr>
        <w:pStyle w:val="863"/>
        <w:ind w:left="0"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（3）投标人应当对招标文件提出的实质性要求和条件作出实质性响应，并在电子投标系统逐条应答。</w:t>
      </w:r>
      <w:r/>
    </w:p>
    <w:p>
      <w:pPr>
        <w:pStyle w:val="863"/>
        <w:ind w:left="0"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19.4投标文件的份数：见招标文件第三章《投标资料表》。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19.5投标文件的退还：见招标文件第三章《投标资料表》。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19.6投标文件的密封、签署、盖章要求：见招标文件第三章《投标资料表》。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19.7投标文件中承诺的投标有效期应当不少于招标文件中载明的投标有效期。</w:t>
      </w:r>
      <w:r/>
    </w:p>
    <w:p>
      <w:pPr>
        <w:ind w:firstLine="482"/>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19.8投标人应当在招标文件要求提交投标文件的截止时间前，将投标文件提交至“苏采云”系统，逾期提交的投标文件，“苏采云”系统将自动拒收。各投标人应在规定时间内凭CA证书进行网上解密。</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19.9 投标人在投标截止时间前，可以对所提交的投标文件进行补充、修改或者撤回。</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 投标报价要求</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20.1投标人应按照招标文件的要求报出分项价格和总价。</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20.2 投标人应按照招标文件的要求进行报价，如有偏离，应在《偏离表》中列出。</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20.3 </w:t>
      </w:r>
      <w:r>
        <w:rPr>
          <w:rFonts w:hint="eastAsia" w:ascii="仿宋" w:hAnsi="仿宋" w:eastAsia="仿宋" w:cs="仿宋"/>
          <w:bCs/>
          <w:color w:val="000000"/>
          <w:sz w:val="28"/>
          <w:szCs w:val="28"/>
          <w:highlight w:val="none"/>
        </w:rPr>
        <w:t xml:space="preserve">采购人不支付报价以外的任何费用。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20.4投标人的投标报价在合同执行过程中是固定的，不得以任何理由予以变更。</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20.5投标人只能提交一个投标报价，提交2个以上投标报价的投标文件在符合性审查时按照投标无效处理。</w:t>
      </w:r>
      <w:r/>
    </w:p>
    <w:p>
      <w:pPr>
        <w:ind w:firstLine="480"/>
        <w:spacing w:line="360" w:lineRule="auto"/>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 xml:space="preserve">20.6</w:t>
      </w:r>
      <w:r>
        <w:rPr>
          <w:rFonts w:hint="eastAsia" w:ascii="仿宋" w:hAnsi="仿宋" w:eastAsia="仿宋" w:cs="仿宋"/>
          <w:bCs/>
          <w:color w:val="000000"/>
          <w:sz w:val="28"/>
          <w:szCs w:val="28"/>
          <w:highlight w:val="none"/>
        </w:rPr>
        <w:t xml:space="preserve">不接受超过采购项目预算金额的投标报价。具体</w:t>
      </w:r>
      <w:r>
        <w:rPr>
          <w:rFonts w:hint="eastAsia" w:ascii="仿宋" w:hAnsi="仿宋" w:eastAsia="仿宋" w:cs="仿宋"/>
          <w:color w:val="000000"/>
          <w:sz w:val="28"/>
          <w:szCs w:val="28"/>
          <w:highlight w:val="none"/>
        </w:rPr>
        <w:t xml:space="preserve">见招标文件第三章《投标资料表》</w:t>
      </w:r>
      <w:r>
        <w:rPr>
          <w:rFonts w:hint="eastAsia" w:ascii="仿宋" w:hAnsi="仿宋" w:eastAsia="仿宋" w:cs="仿宋"/>
          <w:bCs/>
          <w:color w:val="000000"/>
          <w:sz w:val="28"/>
          <w:szCs w:val="28"/>
          <w:highlight w:val="none"/>
        </w:rPr>
        <w:t xml:space="preserve">。</w:t>
      </w:r>
      <w:r/>
    </w:p>
    <w:p>
      <w:pPr>
        <w:ind w:firstLine="482"/>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21.投标人不需</w:t>
      </w:r>
      <w:r>
        <w:rPr>
          <w:rFonts w:hint="eastAsia" w:ascii="仿宋" w:hAnsi="仿宋" w:eastAsia="仿宋" w:cs="仿宋"/>
          <w:b/>
          <w:bCs/>
          <w:color w:val="000000"/>
          <w:sz w:val="28"/>
          <w:szCs w:val="28"/>
          <w:highlight w:val="none"/>
          <w:lang w:eastAsia="zh-CN"/>
        </w:rPr>
        <w:t xml:space="preserve">缴纳</w:t>
      </w:r>
      <w:r>
        <w:rPr>
          <w:rFonts w:hint="eastAsia" w:ascii="仿宋" w:hAnsi="仿宋" w:eastAsia="仿宋" w:cs="仿宋"/>
          <w:b/>
          <w:bCs/>
          <w:color w:val="000000"/>
          <w:sz w:val="28"/>
          <w:szCs w:val="28"/>
          <w:highlight w:val="none"/>
        </w:rPr>
        <w:t xml:space="preserve">投标保证金。</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22.投标截止时间、投标文件开始接收时间、投标文件接收截止时间、投标文件的接收地点：</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22.1投标截止时间：见招标文件第三章《投标资料表》。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22.2投标文件开始接收时间、投标文件接收截止时间、投标文件的接收地点：见招标文件第三章《投标资料表》。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 本项目不允许转包、分包。</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 相同品牌产品投标</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24.3 非单一产品采购项目，采购人应当根据采购项</w:t>
      </w:r>
      <w:r>
        <w:rPr>
          <w:rFonts w:hint="eastAsia" w:ascii="仿宋" w:hAnsi="仿宋" w:eastAsia="仿宋" w:cs="仿宋"/>
          <w:color w:val="000000"/>
          <w:sz w:val="28"/>
          <w:szCs w:val="28"/>
          <w:highlight w:val="none"/>
          <w:lang w:eastAsia="zh-CN"/>
        </w:rPr>
        <w:t xml:space="preserve">目的</w:t>
      </w:r>
      <w:r>
        <w:rPr>
          <w:rFonts w:hint="eastAsia" w:ascii="仿宋" w:hAnsi="仿宋" w:eastAsia="仿宋" w:cs="仿宋"/>
          <w:color w:val="000000"/>
          <w:sz w:val="28"/>
          <w:szCs w:val="28"/>
          <w:highlight w:val="none"/>
        </w:rPr>
        <w:t xml:space="preserve">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 有下列情形之一的，视为投标人串通投标，其投标无效：</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（一）不同投标人的投标文件由同一单位或者个人编制；</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（二）不同投标人委托同一单位或者个人办理投标事宜；</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（三）不同投标人的投标文件载明的项目管理成员或者联系人员为同一人；</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（四）不同投标人的投标文件异常一致或者投标报价呈规律性差异；</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（五）不同投标人的投标文件相互混装。</w:t>
      </w:r>
      <w:r/>
    </w:p>
    <w:p>
      <w:pPr>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四、开标、评标</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 开标</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26.2 开标由采购人或者采购代理机构主持，邀请投标人参加。</w:t>
      </w:r>
      <w:r/>
    </w:p>
    <w:p>
      <w:pPr>
        <w:ind w:firstLine="480"/>
        <w:jc w:val="left"/>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t xml:space="preserve">26.3所有投标单位凭CA证书在到达开标时间时，解密各自投标文件，由工作人员操作系统进行开标、并宣读各投标人的《开标一览表》；招标文件规定的需要宣布的内容：见招标文件第三章《投标资料表》。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投标人不足3家的，不得开标。</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26.4开标过程应当由采购人或者采购代理机构负责记录，由参加开标的各投标人代表和相关工作人员签字确认后随采购文件一并存档。</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投标人未参加开标的，视同认可开标结果。</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27.评标</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27.1 公开招标采购项目开标结束后，采购人依法对投标人的资格进行审查。</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合格投标人不足3家的，不得评标。</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27.2 评标工作由采购代理机构负责组织，并履行下列职责：</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（二）宣布评标纪律；</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（三）公布投标人名单，告知评审专家应当回避的情形；</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（四）组织评标委员会推选评标组长，采购人代表不得担任组长；</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（五）在评标期间采取必要的通讯管理措施，保证评标活动不受外界干扰；</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（六）根据评标委员会的要求介绍政府采购相关政策法规、招标文件；</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（八）核对评标结果，有《</w:t>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"http://www.caigou2003.com/" \t "_blank"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政府采购</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t xml:space="preserve">货物和服务招标投标管理办法》第六十四条规定情形的，要求评标委员会复核或者书面说明理由，评标委员会拒绝的，应予记录并向本级财政部门报告；</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（九）评审工作完成后，按照规定向评审专家支付劳务报酬和异地评审差旅费，不得向评审专家以外的其他人员支付评审劳务报酬；</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（十）处理与评标有关的其他事项。</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27.3 评标委员会负责具体评标事务，并独立履行下列职责：</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（一）审查、评价投标文件是否符合招标文件的商务、技术等实质性要求；</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（二）要求投标人对投标文件有关事项作出澄清或者说明；</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（三）对投标文件进行比较和评价；</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（四）确定中标候选人名单，以及根据采购人委托直接确定中标人；</w:t>
      </w:r>
      <w:r/>
    </w:p>
    <w:p>
      <w:pPr>
        <w:ind w:firstLine="3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（五）向采购人、采购代理机构或者有关部门报告评标中发现的违法行为。</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 评标委员会应当对符合资格的投标人的投标文件进行符合性审查，以确定其是否满足招标文件的实质性要求。</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 评标委员会应当按照招标文件中规定的评标方法和标准，对符合性审查合格的投标文件进行商务和技术评估，综合比较与评价。</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 评标方法、评标标准。 </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31.1评标方法分为最低评标价法和综合评分法。本项目的评标方法：见招标文件第三章《投标资料表》。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31.2本项目的评标标准：见招标文件第四章《评标标准》。</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 投标文件报价出现前后不一致的，除招标文件另有规定外，按照下列规定修正：</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（一）投标文件中开标一览表（报价表）内容与投标文件中相应内容不一致的，以开标一览表（报价表）为准；</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（二）大写金额和小写金额不一致的，以大写金额为准；</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（三）单价金额小数点或者百分比有明显错位的，以开标一览表的总价为准，并修改单价；</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（四）总价金额与按单价汇总金额不一致的，以单价金额计算结果为准。</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同时出现两种以上不一致的，按照前款规定的顺序修正。修正后的报价按照第29条第二款的规定经投标人确认后产生约束力，投标人不确认的，其投标无效。</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33.评标委员会认为投标人的报价明显低于其他通过符合性审</w:t>
      </w:r>
      <w:r>
        <w:rPr>
          <w:rFonts w:hint="eastAsia" w:ascii="仿宋" w:hAnsi="仿宋" w:eastAsia="仿宋" w:cs="仿宋"/>
          <w:color w:val="000000"/>
          <w:sz w:val="28"/>
          <w:szCs w:val="28"/>
          <w:highlight w:val="none"/>
          <w:lang w:eastAsia="zh-CN"/>
        </w:rPr>
        <w:t xml:space="preserve">查的</w:t>
      </w:r>
      <w:r>
        <w:rPr>
          <w:rFonts w:hint="eastAsia" w:ascii="仿宋" w:hAnsi="仿宋" w:eastAsia="仿宋" w:cs="仿宋"/>
          <w:color w:val="000000"/>
          <w:sz w:val="28"/>
          <w:szCs w:val="28"/>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spacing w:before="240" w:after="24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(一)评审过程中出现下列情形之一的，评审委员会应当启动异常低价投标(响应)审查程序:</w:t>
      </w:r>
      <w:r/>
    </w:p>
    <w:p>
      <w:pPr>
        <w:ind w:left="0" w:right="0" w:firstLine="480"/>
        <w:spacing w:before="240" w:after="24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1.投标(响应)报价低于采购项目预算50%的，即投标(响应)报价&lt;采购项目预算×50%；</w:t>
      </w:r>
      <w:r/>
    </w:p>
    <w:p>
      <w:pPr>
        <w:ind w:left="0" w:right="0" w:firstLine="480"/>
        <w:spacing w:before="240" w:after="24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2.投标(响应)报价低于采购项目最高限价45%的，即投标(响应)报价&lt;采购项目最高限价×45%；</w:t>
      </w:r>
      <w:r/>
    </w:p>
    <w:p>
      <w:pPr>
        <w:ind w:left="0" w:right="0" w:firstLine="480"/>
        <w:spacing w:before="240" w:after="24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3.评审委员会认定的供应商报价过低、有可能影响产品质量或者不能诚信履约的其他情形。</w:t>
      </w:r>
      <w:r/>
    </w:p>
    <w:p>
      <w:pPr>
        <w:ind w:left="0" w:right="0" w:firstLine="480"/>
        <w:spacing w:before="240" w:after="24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spacing w:before="240" w:after="240"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35. 投标人存在下列情况之一的，投标无效</w:t>
      </w:r>
      <w:r>
        <w:rPr>
          <w:rFonts w:hint="eastAsia" w:ascii="仿宋" w:hAnsi="仿宋" w:eastAsia="仿宋" w:cs="仿宋"/>
          <w:color w:val="000000"/>
          <w:sz w:val="28"/>
          <w:szCs w:val="28"/>
          <w:highlight w:val="none"/>
          <w:lang w:eastAsia="zh-CN"/>
        </w:rPr>
        <w:t xml:space="preserve">：</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（一）投标文件未按招标文件要求签署、盖章的；</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（二）不具备招标文件中规定的资格要求的；</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（三）报价超过招标文件中规定的预算金额或者最高限价的；</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（四）投标文件含有采购人不能接受的附加条件的；</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（五）投标人未在规定时间内解密电子投标文件的；</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（六）投标文件未按招标文件规定的内容和要求填写的；没有在投标系统指定位置上传对应文件、材料的；</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和招标文件规定的其他无效情形。</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36.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37.废标条款。</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出现下列情形之一的，应予废标：</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（一）符合专业条件的投标人或者对招标文件作实质响应的投标人不足三家的；</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（二）出现影响采购公正的违法、违规行为的；</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（三）投标人的报价均超过了采购预算，采购人不能支付的；</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（四）因重大变故，采购任务取消的。</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五、中标和合同</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38. 确定中标人</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38.1 采购代理机构应当在评标结束后2个工作日内将评标报告送采购人。</w:t>
      </w:r>
      <w:r/>
    </w:p>
    <w:p>
      <w:pPr>
        <w:ind w:firstLine="465"/>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40.中标通知书发出后，采购人不得违法改变中标结果，中标人无正当理由不得放弃中标。</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41.签订政府采购合同</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采购人不得向中标人提出任何不合理的要求作为签订合同的条件。</w:t>
      </w:r>
      <w:r/>
    </w:p>
    <w:p>
      <w:pPr>
        <w:ind w:firstLine="48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42.采购人与中标人应当根据合同的约定依法履行合同义务。</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政府采购合同的履行、违约责任和解决争议的方法等适用《中华人民共和国民法典》。</w:t>
      </w:r>
      <w:r/>
    </w:p>
    <w:p>
      <w:pPr>
        <w:ind w:left="420"/>
        <w:jc w:val="cente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六、询问和质疑</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43.询问和质疑</w:t>
      </w:r>
      <w:r/>
    </w:p>
    <w:p>
      <w:pPr>
        <w:ind w:firstLine="48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28"/>
          <w:szCs w:val="28"/>
          <w:highlight w:val="none"/>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供应商对同一采购程序环节的质疑应在质疑期内一次性提出，询问和质疑由采购代理机构依法处理。</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br w:type="page" w:clear="all"/>
      </w:r>
      <w:r>
        <w:rPr>
          <w:rFonts w:hint="eastAsia" w:ascii="宋体" w:hAnsi="宋体" w:eastAsia="宋体" w:cs="宋体"/>
          <w:b/>
          <w:bCs/>
          <w:color w:val="000000"/>
          <w:sz w:val="40"/>
          <w:szCs w:val="40"/>
          <w:highlight w:val="none"/>
        </w:rPr>
        <w:t xml:space="preserve">第三章  投标资料表</w:t>
      </w:r>
      <w:r/>
    </w:p>
    <w:p>
      <w:pPr>
        <w:pStyle w:val="995"/>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该资料表的条款项号是与《投标人须知》中条款项号对应的，或增加的条款，是对《投标人须知》的补充、修改和完善，如果有矛盾的话，应以本资料表为准。</w:t>
      </w:r>
      <w:r/>
    </w:p>
    <w:tbl>
      <w:tblPr>
        <w:tblStyle w:val="832"/>
        <w:tblW w:w="90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0"/>
        <w:gridCol w:w="7528"/>
      </w:tblGrid>
      <w:tr>
        <w:trPr>
          <w:jc w:val="center"/>
        </w:trPr>
        <w:tc>
          <w:tcPr>
            <w:tcW w:w="1510"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条款项号</w:t>
            </w:r>
            <w:r/>
          </w:p>
        </w:tc>
        <w:tc>
          <w:tcPr>
            <w:tcW w:w="7528"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内容</w:t>
            </w:r>
            <w:r/>
          </w:p>
        </w:tc>
      </w:tr>
      <w:tr>
        <w:trPr>
          <w:jc w:val="center"/>
        </w:trPr>
        <w:tc>
          <w:tcPr>
            <w:tcW w:w="1510"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7528"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一、总则</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1.1</w:t>
            </w:r>
            <w:r/>
          </w:p>
        </w:tc>
        <w:tc>
          <w:tcPr>
            <w:tcW w:w="75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本项目采购人：徐州市贾汪区城市管理局</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w:t>
            </w:r>
            <w:r/>
          </w:p>
        </w:tc>
        <w:tc>
          <w:tcPr>
            <w:tcW w:w="75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本次采购采用的政府采购方式：公开招标。</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4.</w:t>
            </w:r>
            <w:r/>
          </w:p>
        </w:tc>
        <w:tc>
          <w:tcPr>
            <w:tcW w:w="75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采购人确定的采购项目属性：货物</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5.</w:t>
            </w:r>
            <w:r/>
          </w:p>
        </w:tc>
        <w:tc>
          <w:tcPr>
            <w:tcW w:w="75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本项目采购代理机构：江苏泓科工程咨询集团有限公司</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7528"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二、招标</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9.1</w:t>
            </w:r>
            <w:r/>
          </w:p>
        </w:tc>
        <w:tc>
          <w:tcPr>
            <w:tcW w:w="75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采购项目预算金额人民币59.299万元。</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10.1</w:t>
            </w:r>
            <w:r/>
          </w:p>
        </w:tc>
        <w:tc>
          <w:tcPr>
            <w:tcW w:w="75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本项目对样品的要求：详见采购需求。</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11.2</w:t>
            </w:r>
            <w:r/>
          </w:p>
        </w:tc>
        <w:tc>
          <w:tcPr>
            <w:tcW w:w="75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投标有效期：90天。</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12.1</w:t>
            </w:r>
            <w:r/>
          </w:p>
        </w:tc>
        <w:tc>
          <w:tcPr>
            <w:tcW w:w="75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招标文件售价：免费。</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13.1</w:t>
            </w:r>
            <w:r/>
          </w:p>
        </w:tc>
        <w:tc>
          <w:tcPr>
            <w:tcW w:w="7528" w:type="dxa"/>
            <w:vAlign w:val="top"/>
            <w:textDirection w:val="lrTb"/>
            <w:noWrap w:val="false"/>
          </w:tcPr>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采购代理机构代理费用的收取标准和方式：招标代理服务费由中标人支付，标准见《招标代理服务收费标准》（见附件）。</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14.2</w:t>
            </w:r>
            <w:r/>
          </w:p>
        </w:tc>
        <w:tc>
          <w:tcPr>
            <w:tcW w:w="7528" w:type="dxa"/>
            <w:vAlign w:val="top"/>
            <w:textDirection w:val="lrTb"/>
            <w:noWrap w:val="false"/>
          </w:tcPr>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现场考察：不组织现场考察。</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14.3</w:t>
            </w:r>
            <w:r/>
          </w:p>
        </w:tc>
        <w:tc>
          <w:tcPr>
            <w:tcW w:w="7528" w:type="dxa"/>
            <w:vAlign w:val="top"/>
            <w:textDirection w:val="lrTb"/>
            <w:noWrap w:val="false"/>
          </w:tcPr>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开标前答疑会：不召开开标前答疑会。</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15.1</w:t>
            </w:r>
            <w:r/>
          </w:p>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15.2</w:t>
            </w:r>
            <w:r/>
          </w:p>
        </w:tc>
        <w:tc>
          <w:tcPr>
            <w:tcW w:w="7528" w:type="dxa"/>
            <w:vAlign w:val="top"/>
            <w:textDirection w:val="lrTb"/>
            <w:noWrap w:val="false"/>
          </w:tcPr>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16.1</w:t>
            </w:r>
            <w:r/>
          </w:p>
        </w:tc>
        <w:tc>
          <w:tcPr>
            <w:tcW w:w="7528" w:type="dxa"/>
            <w:vAlign w:val="top"/>
            <w:textDirection w:val="lrTb"/>
            <w:noWrap w:val="false"/>
          </w:tcPr>
          <w:p>
            <w:pPr>
              <w:jc w:val="left"/>
              <w:spacing w:line="360" w:lineRule="auto"/>
              <w:widowControl/>
              <w:rPr>
                <w:rFonts w:hint="eastAsia" w:ascii="仿宋" w:hAnsi="仿宋" w:eastAsia="仿宋" w:cs="仿宋"/>
                <w:bC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color w:val="000000"/>
                <w:sz w:val="28"/>
                <w:szCs w:val="28"/>
                <w:highlight w:val="none"/>
                <w:lang w:val="en-US" w:eastAsia="zh-CN" w:bidi="ar-SA"/>
              </w:rPr>
              <w:t xml:space="preserve">发布本项目的“</w:t>
            </w:r>
            <w:r>
              <w:rPr>
                <w:rFonts w:hint="eastAsia" w:ascii="仿宋" w:hAnsi="仿宋" w:eastAsia="仿宋" w:cs="仿宋"/>
                <w:color w:val="000000"/>
                <w:sz w:val="28"/>
                <w:szCs w:val="28"/>
                <w:highlight w:val="none"/>
                <w:lang w:val="en-US" w:eastAsia="zh-CN" w:bidi="ar-SA"/>
              </w:rPr>
              <w:t xml:space="preserve">终止公告</w:t>
            </w:r>
            <w:r>
              <w:rPr>
                <w:rFonts w:hint="eastAsia" w:ascii="仿宋" w:hAnsi="仿宋" w:eastAsia="仿宋" w:cs="仿宋"/>
                <w:bCs/>
                <w:color w:val="000000"/>
                <w:sz w:val="28"/>
                <w:szCs w:val="28"/>
                <w:highlight w:val="none"/>
                <w:lang w:val="en-US" w:eastAsia="zh-CN" w:bidi="ar-SA"/>
              </w:rPr>
              <w:t xml:space="preserve">”后采购代理机构已尽通知义务。敬请各潜在投标人关注本项目的“</w:t>
            </w:r>
            <w:r>
              <w:rPr>
                <w:rFonts w:hint="eastAsia" w:ascii="仿宋" w:hAnsi="仿宋" w:eastAsia="仿宋" w:cs="仿宋"/>
                <w:color w:val="000000"/>
                <w:sz w:val="28"/>
                <w:szCs w:val="28"/>
                <w:highlight w:val="none"/>
                <w:lang w:val="en-US" w:eastAsia="zh-CN" w:bidi="ar-SA"/>
              </w:rPr>
              <w:t xml:space="preserve">终止公告</w:t>
            </w:r>
            <w:r>
              <w:rPr>
                <w:rFonts w:hint="eastAsia" w:ascii="仿宋" w:hAnsi="仿宋" w:eastAsia="仿宋" w:cs="仿宋"/>
                <w:bCs/>
                <w:color w:val="000000"/>
                <w:sz w:val="28"/>
                <w:szCs w:val="28"/>
                <w:highlight w:val="none"/>
                <w:lang w:val="en-US" w:eastAsia="zh-CN" w:bidi="ar-SA"/>
              </w:rPr>
              <w:t xml:space="preserve">”，否则，将自行承担相应的风险。</w:t>
            </w:r>
            <w:r/>
          </w:p>
        </w:tc>
      </w:tr>
      <w:tr>
        <w:trPr>
          <w:jc w:val="center"/>
          <w:trHeight w:val="283"/>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17.</w:t>
            </w:r>
            <w:r/>
          </w:p>
        </w:tc>
        <w:tc>
          <w:tcPr>
            <w:tcW w:w="7528" w:type="dxa"/>
            <w:vAlign w:val="top"/>
            <w:textDirection w:val="lrTb"/>
            <w:noWrap w:val="false"/>
          </w:tcPr>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投标人信用信息查询渠道及截止时点、信用信息查询记录和证据留存的具体方式、信用信息的使用规则等：</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一、</w:t>
            </w:r>
            <w:r>
              <w:rPr>
                <w:rFonts w:hint="eastAsia" w:ascii="仿宋" w:hAnsi="仿宋" w:eastAsia="仿宋" w:cs="仿宋"/>
                <w:color w:val="000000"/>
                <w:sz w:val="28"/>
                <w:szCs w:val="28"/>
                <w:highlight w:val="none"/>
                <w:lang w:val="en-US" w:eastAsia="zh-CN" w:bidi="ar-SA"/>
              </w:rPr>
              <w:t xml:space="preserve">由采购人查询信用信息。</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二、查询渠道：</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1、“信用中国”网（www.creditchina.gov.cn）；</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2、“中国政府采购”网（www.ccgp.gov.cn）；</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3、“信用江苏”网（http://credit.jiangsu.gov.cn）；</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4、“信用中国（江苏徐州）”网（www.xuzhoucredit.gov.cn）；</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三、截止时点（查询环节）：资格审查结束前。</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四、信用信息查询记录和证据留存的具体方式：</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网页截屏打印，与其他采购文件一并保存。</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五、信用信息的使用规则：</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510"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7528"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三、投标</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18.3</w:t>
            </w:r>
            <w:r/>
          </w:p>
        </w:tc>
        <w:tc>
          <w:tcPr>
            <w:tcW w:w="7528" w:type="dxa"/>
            <w:vAlign w:val="top"/>
            <w:textDirection w:val="lrTb"/>
            <w:noWrap w:val="false"/>
          </w:tcPr>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投标人的资格要求：</w:t>
            </w:r>
            <w:r/>
          </w:p>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w:t>
            </w:r>
            <w:r>
              <w:rPr>
                <w:rFonts w:hint="eastAsia" w:ascii="仿宋" w:hAnsi="仿宋" w:eastAsia="仿宋" w:cs="仿宋"/>
                <w:bCs/>
                <w:color w:val="000000"/>
                <w:sz w:val="28"/>
                <w:szCs w:val="28"/>
                <w:highlight w:val="none"/>
                <w:lang w:val="en-US" w:eastAsia="zh-CN" w:bidi="ar-SA"/>
              </w:rPr>
              <w:t xml:space="preserve">符合</w:t>
            </w:r>
            <w:r>
              <w:rPr>
                <w:rFonts w:hint="eastAsia" w:ascii="仿宋" w:hAnsi="仿宋" w:eastAsia="仿宋" w:cs="仿宋"/>
                <w:color w:val="000000"/>
                <w:sz w:val="28"/>
                <w:szCs w:val="28"/>
                <w:highlight w:val="none"/>
                <w:lang w:val="en-US" w:eastAsia="zh-CN" w:bidi="ar-SA"/>
              </w:rPr>
              <w:t xml:space="preserve">《中华人民共和国政府采购法》第二十二条规定；</w:t>
            </w:r>
            <w:r/>
          </w:p>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落实政府采购政策需满足的资格要求：本项目属于专门面向中小微企业采购的项目，投标人所提供的货物全部由符合政策要求的中小微企业制造，投标人提供的货物的制造商应全部为中小微企业、监狱企业、残疾人福利性单位。</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3、本项目的特定资格要求：无</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说明：</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1、本项目不接受联合体参与投标。</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2、单位负责人为同一人或者存在直接控股、管理关系的不同供应商，不得参加同一合同项下的政府采购活动。</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3、为本采购项目提供整体设计、规范编制或者项目管理、监理、检测等服务的投标人，不得再参加本采购项目的采购活动。</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19.1</w:t>
            </w:r>
            <w:r/>
          </w:p>
        </w:tc>
        <w:tc>
          <w:tcPr>
            <w:tcW w:w="7528" w:type="dxa"/>
            <w:vAlign w:val="top"/>
            <w:textDirection w:val="lrTb"/>
            <w:noWrap w:val="false"/>
          </w:tcPr>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投标人须用政府采购客户端工具导入“苏采云”系统下载的招标文件后，离线编制投标文件。招标文件、供应商操作手册及政府采购客户端工具可通过“苏采云”系统（网址：</w:t>
            </w:r>
            <w:r>
              <w:rPr>
                <w:rFonts w:hint="eastAsia" w:ascii="仿宋" w:hAnsi="仿宋" w:eastAsia="仿宋" w:cs="仿宋"/>
                <w:bCs/>
                <w:color w:val="000000"/>
                <w:sz w:val="28"/>
                <w:szCs w:val="28"/>
                <w:highlight w:val="none"/>
              </w:rPr>
              <w:fldChar w:fldCharType="begin"/>
            </w:r>
            <w:r>
              <w:rPr>
                <w:rFonts w:hint="eastAsia" w:ascii="仿宋" w:hAnsi="仿宋" w:eastAsia="仿宋" w:cs="仿宋"/>
                <w:bCs/>
                <w:color w:val="000000"/>
                <w:sz w:val="28"/>
                <w:szCs w:val="28"/>
                <w:highlight w:val="none"/>
                <w:lang w:val="en-US" w:eastAsia="zh-CN" w:bidi="ar-SA"/>
              </w:rPr>
              <w:instrText xml:space="preserve">HYPERLINK "http://jszfcg.jsczt.cn/"</w:instrText>
            </w:r>
            <w:r>
              <w:rPr>
                <w:rFonts w:hint="eastAsia" w:ascii="仿宋" w:hAnsi="仿宋" w:eastAsia="仿宋" w:cs="仿宋"/>
                <w:bCs/>
                <w:color w:val="000000"/>
                <w:sz w:val="28"/>
                <w:szCs w:val="28"/>
                <w:highlight w:val="none"/>
              </w:rPr>
              <w:fldChar w:fldCharType="separate"/>
            </w:r>
            <w:r>
              <w:rPr>
                <w:rFonts w:hint="eastAsia" w:ascii="仿宋" w:hAnsi="仿宋" w:eastAsia="仿宋" w:cs="仿宋"/>
                <w:bCs/>
                <w:color w:val="000000"/>
                <w:sz w:val="28"/>
                <w:szCs w:val="28"/>
                <w:highlight w:val="none"/>
                <w:lang w:val="en-US" w:eastAsia="zh-CN" w:bidi="ar-SA"/>
              </w:rPr>
              <w:t xml:space="preserve">http://jszfcg.jsc</w:t>
            </w:r>
            <w:bookmarkStart w:id="0" w:name="_Hlt91509263"/>
            <w:r/>
            <w:bookmarkStart w:id="1" w:name="_Hlt91509264"/>
            <w:r>
              <w:rPr>
                <w:rFonts w:hint="eastAsia" w:ascii="仿宋" w:hAnsi="仿宋" w:eastAsia="仿宋" w:cs="仿宋"/>
                <w:bCs/>
                <w:color w:val="000000"/>
                <w:sz w:val="28"/>
                <w:szCs w:val="28"/>
                <w:highlight w:val="none"/>
                <w:lang w:val="en-US" w:eastAsia="zh-CN" w:bidi="ar-SA"/>
              </w:rPr>
              <w:t xml:space="preserve">z</w:t>
            </w:r>
            <w:bookmarkEnd w:id="0"/>
            <w:r/>
            <w:bookmarkEnd w:id="1"/>
            <w:r>
              <w:rPr>
                <w:rFonts w:hint="eastAsia" w:ascii="仿宋" w:hAnsi="仿宋" w:eastAsia="仿宋" w:cs="仿宋"/>
                <w:bCs/>
                <w:color w:val="000000"/>
                <w:sz w:val="28"/>
                <w:szCs w:val="28"/>
                <w:highlight w:val="none"/>
                <w:lang w:val="en-US" w:eastAsia="zh-CN" w:bidi="ar-SA"/>
              </w:rPr>
              <w:t xml:space="preserve">t.cn/</w:t>
            </w:r>
            <w:r>
              <w:rPr>
                <w:rFonts w:hint="eastAsia" w:ascii="仿宋" w:hAnsi="仿宋" w:eastAsia="仿宋" w:cs="仿宋"/>
                <w:bCs/>
                <w:color w:val="000000"/>
                <w:sz w:val="28"/>
                <w:szCs w:val="28"/>
                <w:highlight w:val="none"/>
              </w:rPr>
              <w:fldChar w:fldCharType="end"/>
            </w:r>
            <w:r>
              <w:rPr>
                <w:rFonts w:hint="eastAsia" w:ascii="仿宋" w:hAnsi="仿宋" w:eastAsia="仿宋" w:cs="仿宋"/>
                <w:bCs/>
                <w:color w:val="000000"/>
                <w:sz w:val="28"/>
                <w:szCs w:val="28"/>
                <w:highlight w:val="none"/>
                <w:lang w:val="en-US" w:eastAsia="zh-CN" w:bidi="ar-S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特别说明：政府采购客户端工具需要导出加密的投标文件（后缀名为zip）。投标文件不得超过150M！</w:t>
            </w:r>
            <w:r/>
          </w:p>
        </w:tc>
      </w:tr>
      <w:tr>
        <w:trPr>
          <w:jc w:val="center"/>
          <w:trHeight w:val="90"/>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19.2</w:t>
            </w:r>
            <w:r/>
          </w:p>
        </w:tc>
        <w:tc>
          <w:tcPr>
            <w:tcW w:w="7528" w:type="dxa"/>
            <w:vAlign w:val="top"/>
            <w:textDirection w:val="lrTb"/>
            <w:noWrap w:val="false"/>
          </w:tcPr>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投标文件编制要求：</w:t>
            </w:r>
            <w:r>
              <w:rPr>
                <w:rFonts w:hint="eastAsia" w:ascii="仿宋" w:hAnsi="仿宋" w:eastAsia="仿宋" w:cs="仿宋"/>
                <w:b/>
                <w:bCs/>
                <w:color w:val="000000"/>
                <w:sz w:val="28"/>
                <w:szCs w:val="28"/>
                <w:highlight w:val="none"/>
                <w:lang w:val="en-US" w:eastAsia="zh-CN" w:bidi="ar-SA"/>
              </w:rPr>
              <w:t xml:space="preserve">（以电子采购文件提供的格式和要求为准）</w:t>
            </w:r>
            <w:r/>
          </w:p>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一、基本目录</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1</w:t>
            </w:r>
            <w:r>
              <w:rPr>
                <w:rFonts w:hint="eastAsia" w:ascii="仿宋" w:hAnsi="仿宋" w:eastAsia="仿宋" w:cs="宋体"/>
                <w:color w:val="000000"/>
                <w:sz w:val="28"/>
                <w:szCs w:val="28"/>
              </w:rPr>
              <w:t xml:space="preserve">.《开标一览表》（加盖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，政府采购客户端工具输入报价自动生成，需分采购包编制）；</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2.</w:t>
            </w:r>
            <w:r>
              <w:rPr>
                <w:rFonts w:hint="eastAsia" w:ascii="仿宋" w:hAnsi="仿宋" w:eastAsia="仿宋" w:cs="宋体"/>
                <w:color w:val="000000"/>
                <w:sz w:val="28"/>
                <w:szCs w:val="28"/>
              </w:rPr>
              <w:t xml:space="preserve">《授权委托书》（提供扫描件，格式见招标文件第七章《投标文件相关格式》）。</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二、</w:t>
            </w:r>
            <w:r>
              <w:rPr>
                <w:rFonts w:hint="eastAsia" w:ascii="仿宋" w:hAnsi="仿宋" w:eastAsia="仿宋" w:cs="仿宋"/>
                <w:b/>
                <w:color w:val="000000"/>
                <w:sz w:val="28"/>
                <w:szCs w:val="28"/>
                <w:highlight w:val="none"/>
                <w:lang w:val="en-US" w:eastAsia="zh-CN" w:bidi="ar-SA"/>
              </w:rPr>
              <w:t xml:space="preserve">资格条件（必须提供，否则投标将被拒绝）</w:t>
            </w:r>
            <w:r>
              <w:rPr>
                <w:rFonts w:hint="eastAsia" w:ascii="仿宋" w:hAnsi="仿宋" w:eastAsia="仿宋" w:cs="仿宋"/>
                <w:bCs/>
                <w:color w:val="000000"/>
                <w:sz w:val="28"/>
                <w:szCs w:val="28"/>
                <w:highlight w:val="none"/>
                <w:lang w:val="en-US" w:eastAsia="zh-CN" w:bidi="ar-SA"/>
              </w:rPr>
              <w:t xml:space="preserve">：</w:t>
            </w:r>
            <w:r/>
          </w:p>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1、具有独立承担民事责任的能力：投标人合法有效的法人或者其他组织的营业执照等证明文件，自然人的身份证明。以上证明文件提供原件的扫描件。</w:t>
            </w:r>
            <w:r/>
          </w:p>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具有良好的商业信誉和健全的财务会计制度：即提供投标人的本项目开标时间前6个月内任何时间的资产负债表、利润表扫描件各一份；或提供合法有效的经第三方机构审计的2023年度或2024年度财务审计报告扫描件（应包括审计报告正文、资产负债表、现金流量表、利润表）；</w:t>
            </w:r>
            <w:r/>
          </w:p>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3、有依法缴纳税收和社会保障资金的良好记录：</w:t>
            </w:r>
            <w:r/>
          </w:p>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即提供投标人的本项目开标时间前6个月内任何1个月的依法缴纳税收扫描件和社会保障资金扫描件的相关材料（依法免税或不需要缴纳社会保障资金的供应商，提供相应文件扫描件证明其依法免税或不需要缴纳社会保障资金）；</w:t>
            </w:r>
            <w:r/>
          </w:p>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4、具有履行合同所必需的设备和专业技术能力的证明材料：即提供：既提供至少1名为本项目服务的人员的身份证复印件和劳动合同（书）复印件。（加盖电子签章，格式见招标文件第七章《投标文件相关格式》）；</w:t>
            </w:r>
            <w:r/>
          </w:p>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5、参加政府采购活动前三年内，在经营活动中没有重大违法记录：即提供投标人参加政府采购活动前3年内在经营活动中没有重大违法记录的书面声明，加盖电子签章，格式见本文件第七章《投标文件相关格式》；</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6、本项目属于专门面向中小微企业采购的项目：投标人所提供的货物全部由符合政策要求的中小企业（含中型、小型、微型企业，下同）制造，提供《中小企业声明函》（加盖公章，格式见招标文件第七章《投标文件相关格式》）。《中小企业声明函》查询渠道用微信搜索“中小企业规模类型自测小程序”。</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注：中小企业（含中型、小型、微型企业，下同），应当同时符合以下条件：</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　 ① 符合中小企业划分标准；</w:t>
            </w:r>
            <w:r/>
          </w:p>
          <w:p>
            <w:pPr>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小型、微型企业提供中型企业制造的货物的，视同为中型企业。</w:t>
            </w:r>
            <w:r/>
          </w:p>
          <w:p>
            <w:pPr>
              <w:ind w:firstLine="480"/>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ind w:firstLine="480"/>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享受政府采购支持政策的残疾人福利性单位应当同时满足以下条件：</w:t>
            </w:r>
            <w:r/>
          </w:p>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　　（一）安置的残疾人占本单位在职职工人数的比例不低于25%（含25%），并且安置的残疾人人数不少于10人（含10人）；</w:t>
            </w:r>
            <w:r/>
          </w:p>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　　（二）依法与安置的每位残疾人签订了一年以上（含一年）的劳动合同或服务协议；</w:t>
            </w:r>
            <w:r/>
          </w:p>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　　（三）为安置的每位残疾人按月足额缴纳了基本养老保险、基本医疗保险、失业保险、工伤保险和生育保险等社会保险费；</w:t>
            </w:r>
            <w:r/>
          </w:p>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　　（四）通过银行等金融机构向安置的每位残疾人，按月支付了不低于单位所在区县适用的经省级人民政府批准的月最低工资标准的工资；</w:t>
            </w:r>
            <w:r/>
          </w:p>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　　（五）提供本单位制造的货物、承担的工程或者服务（以下简称产品），或者提供其他残疾人福利性单位制造的货物（不包括使用非残疾人福利性单位注册商标的货物）。</w:t>
            </w:r>
            <w:r/>
          </w:p>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   具体以《三部门联合发布关于促进残疾人就业政府采购政策的通知》（财库〔2017〕141号）规定为准。</w:t>
            </w:r>
            <w:r/>
          </w:p>
          <w:p>
            <w:pPr>
              <w:jc w:val="both"/>
              <w:spacing w:line="360" w:lineRule="auto"/>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三、符合条件（</w:t>
            </w:r>
            <w:r>
              <w:rPr>
                <w:rFonts w:hint="eastAsia" w:ascii="仿宋" w:hAnsi="仿宋" w:eastAsia="仿宋" w:cs="仿宋"/>
                <w:b/>
                <w:color w:val="000000"/>
                <w:sz w:val="28"/>
                <w:szCs w:val="28"/>
                <w:highlight w:val="none"/>
                <w:lang w:val="en-US" w:eastAsia="zh-CN" w:bidi="ar-SA"/>
              </w:rPr>
              <w:t xml:space="preserve">必须提供，否则在符合性审查时按照投标无效处理</w:t>
            </w:r>
            <w:r>
              <w:rPr>
                <w:rFonts w:hint="eastAsia" w:ascii="仿宋" w:hAnsi="仿宋" w:eastAsia="仿宋" w:cs="仿宋"/>
                <w:b/>
                <w:bCs w:val="0"/>
                <w:color w:val="000000"/>
                <w:sz w:val="28"/>
                <w:szCs w:val="28"/>
                <w:highlight w:val="none"/>
                <w:lang w:val="en-US" w:eastAsia="zh-CN" w:bidi="ar-SA"/>
              </w:rPr>
              <w:t xml:space="preserve">）</w:t>
            </w:r>
            <w:r/>
          </w:p>
          <w:p>
            <w:pPr>
              <w:jc w:val="both"/>
              <w:spacing w:line="360" w:lineRule="auto"/>
              <w:widowControl w:val="off"/>
              <w:rPr>
                <w:rFonts w:hint="eastAsia" w:ascii="仿宋" w:hAnsi="仿宋" w:eastAsia="仿宋" w:cs="仿宋"/>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（一）报价</w:t>
            </w:r>
            <w:r/>
          </w:p>
          <w:p>
            <w:pPr>
              <w:jc w:val="both"/>
              <w:spacing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1.《开标一览表》。加盖电子签章。</w:t>
            </w:r>
            <w:r/>
          </w:p>
          <w:p>
            <w:pPr>
              <w:jc w:val="both"/>
              <w:spacing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bidi="ar-SA"/>
              </w:rPr>
              <w:t xml:space="preserve">2.</w:t>
            </w:r>
            <w:bookmarkStart w:id="2" w:name="OLE_LINK7"/>
            <w:r>
              <w:rPr>
                <w:rFonts w:hint="eastAsia" w:ascii="仿宋" w:hAnsi="仿宋" w:eastAsia="仿宋" w:cs="仿宋"/>
                <w:b/>
                <w:color w:val="000000"/>
                <w:sz w:val="28"/>
                <w:szCs w:val="28"/>
                <w:highlight w:val="none"/>
                <w:lang w:val="en-US" w:eastAsia="zh-CN" w:bidi="ar-SA"/>
              </w:rPr>
              <w:t xml:space="preserve">《分项价格表》。加盖电子签章，格式见本文件第七章《投标文件相关格式》。</w:t>
            </w:r>
            <w:bookmarkEnd w:id="2"/>
            <w:r/>
            <w:r/>
          </w:p>
          <w:p>
            <w:pPr>
              <w:jc w:val="both"/>
              <w:spacing w:line="360" w:lineRule="auto"/>
              <w:widowControl w:val="off"/>
              <w:rPr>
                <w:rFonts w:hint="eastAsia" w:ascii="仿宋" w:hAnsi="仿宋" w:eastAsia="仿宋" w:cs="仿宋"/>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（二）商务资信</w:t>
            </w:r>
            <w:r/>
          </w:p>
          <w:p>
            <w:pPr>
              <w:jc w:val="both"/>
              <w:spacing w:line="360" w:lineRule="auto"/>
              <w:widowControl w:val="off"/>
              <w:rPr>
                <w:rFonts w:hint="eastAsia" w:ascii="仿宋" w:hAnsi="仿宋" w:eastAsia="仿宋" w:cs="仿宋"/>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1.</w:t>
            </w:r>
            <w:bookmarkStart w:id="3" w:name="OLE_LINK8"/>
            <w:r>
              <w:rPr>
                <w:rFonts w:hint="eastAsia" w:ascii="仿宋" w:hAnsi="仿宋" w:eastAsia="仿宋" w:cs="仿宋"/>
                <w:b/>
                <w:bCs/>
                <w:color w:val="000000"/>
                <w:sz w:val="28"/>
                <w:szCs w:val="28"/>
                <w:highlight w:val="none"/>
                <w:lang w:val="en-US" w:eastAsia="zh-CN" w:bidi="ar-SA"/>
              </w:rPr>
              <w:t xml:space="preserve">《投标函》（加盖电子签章，格式见招标文件第七章《投标文件相关格式》。）</w:t>
            </w:r>
            <w:bookmarkEnd w:id="3"/>
            <w:r/>
            <w:r/>
          </w:p>
          <w:p>
            <w:pPr>
              <w:jc w:val="both"/>
              <w:spacing w:line="360" w:lineRule="auto"/>
              <w:widowControl w:val="off"/>
              <w:rPr>
                <w:rFonts w:hint="eastAsia" w:ascii="仿宋" w:hAnsi="仿宋" w:eastAsia="仿宋" w:cs="仿宋"/>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2.</w:t>
            </w:r>
            <w:bookmarkStart w:id="4" w:name="OLE_LINK9"/>
            <w:r>
              <w:rPr>
                <w:rFonts w:hint="eastAsia" w:ascii="仿宋" w:hAnsi="仿宋" w:eastAsia="仿宋" w:cs="仿宋"/>
                <w:b/>
                <w:color w:val="000000"/>
                <w:sz w:val="28"/>
                <w:szCs w:val="28"/>
                <w:highlight w:val="none"/>
                <w:lang w:val="en-US" w:eastAsia="zh-CN" w:bidi="ar-SA"/>
              </w:rPr>
              <w:t xml:space="preserve">《授权委托书及法定代表人身份证明书》。加盖电子签章，格式见本文件第七章《投标文件相关格式》。</w:t>
            </w:r>
            <w:bookmarkEnd w:id="4"/>
            <w:r/>
            <w:r/>
          </w:p>
          <w:p>
            <w:pPr>
              <w:jc w:val="both"/>
              <w:spacing w:line="360" w:lineRule="auto"/>
              <w:widowControl w:val="off"/>
              <w:rPr>
                <w:rFonts w:hint="eastAsia" w:ascii="仿宋" w:hAnsi="仿宋" w:eastAsia="仿宋" w:cs="仿宋"/>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（三）技术响应</w:t>
            </w:r>
            <w:r/>
          </w:p>
          <w:p>
            <w:pPr>
              <w:jc w:val="both"/>
              <w:spacing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1.</w:t>
            </w:r>
            <w:bookmarkStart w:id="5" w:name="OLE_LINK10"/>
            <w:r>
              <w:rPr>
                <w:rFonts w:hint="eastAsia" w:ascii="仿宋" w:hAnsi="仿宋" w:eastAsia="仿宋" w:cs="仿宋"/>
                <w:b/>
                <w:bCs/>
                <w:color w:val="000000"/>
                <w:sz w:val="28"/>
                <w:szCs w:val="28"/>
                <w:highlight w:val="none"/>
                <w:lang w:val="en-US" w:eastAsia="zh-CN" w:bidi="ar-SA"/>
              </w:rPr>
              <w:t xml:space="preserve">《偏离表》（加盖电子签章，格式见招标文件第七章《投标文件相关格式》。）</w:t>
            </w:r>
            <w:bookmarkEnd w:id="5"/>
            <w:r/>
            <w:r/>
          </w:p>
          <w:p>
            <w:pPr>
              <w:jc w:val="both"/>
              <w:spacing w:line="360" w:lineRule="auto"/>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四、技术部分</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要求见招标文件《采购需求》及《评标标准》中《评分细则》）；</w:t>
            </w:r>
            <w:r/>
          </w:p>
          <w:p>
            <w:pPr>
              <w:spacing w:line="400" w:lineRule="exact"/>
              <w:widowControl/>
              <w:rPr>
                <w:rFonts w:hint="eastAsia" w:ascii="仿宋" w:hAnsi="仿宋" w:eastAsia="仿宋" w:cs="仿宋"/>
                <w:bCs/>
                <w:color w:val="000000"/>
                <w:sz w:val="28"/>
                <w:szCs w:val="28"/>
                <w:highlight w:val="none"/>
                <w:lang w:val="en-US" w:eastAsia="zh-CN" w:bidi="ar-SA"/>
              </w:rPr>
            </w:pPr>
            <w:r>
              <w:rPr>
                <w:rFonts w:hint="eastAsia" w:ascii="仿宋" w:hAnsi="仿宋" w:eastAsia="仿宋" w:cs="宋体"/>
                <w:color w:val="000000"/>
                <w:sz w:val="28"/>
                <w:szCs w:val="28"/>
              </w:rPr>
              <w:t xml:space="preserve">评分细则中评分得分需提供的相关证明文件</w:t>
            </w:r>
            <w:r>
              <w:rPr>
                <w:rFonts w:hint="eastAsia" w:ascii="仿宋" w:hAnsi="仿宋" w:eastAsia="仿宋" w:cs="宋体"/>
                <w:color w:val="000000"/>
                <w:sz w:val="28"/>
                <w:szCs w:val="28"/>
                <w:lang w:val="en-US" w:eastAsia="zh-CN"/>
              </w:rPr>
              <w:t xml:space="preserve">原件扫描件</w:t>
            </w:r>
            <w:r>
              <w:rPr>
                <w:rFonts w:hint="eastAsia" w:ascii="仿宋" w:hAnsi="仿宋" w:eastAsia="仿宋" w:cs="宋体"/>
                <w:color w:val="000000"/>
                <w:sz w:val="28"/>
                <w:szCs w:val="28"/>
              </w:rPr>
              <w:t xml:space="preserve">。特别要求的除外。</w:t>
            </w:r>
            <w:r/>
          </w:p>
          <w:p>
            <w:pPr>
              <w:jc w:val="both"/>
              <w:spacing w:line="360" w:lineRule="auto"/>
              <w:widowControl w:val="off"/>
              <w:rPr>
                <w:rFonts w:hint="eastAsia" w:ascii="仿宋" w:hAnsi="仿宋" w:eastAsia="仿宋"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五、商务部分</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投标人业绩</w:t>
            </w:r>
            <w:r>
              <w:rPr>
                <w:rFonts w:hint="eastAsia" w:ascii="仿宋" w:hAnsi="仿宋" w:eastAsia="仿宋" w:cs="宋体"/>
                <w:color w:val="000000"/>
                <w:sz w:val="28"/>
                <w:szCs w:val="28"/>
              </w:rPr>
              <w:t xml:space="preserve">（加盖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，要求见招标文件第</w:t>
            </w:r>
            <w:r>
              <w:rPr>
                <w:rFonts w:hint="eastAsia" w:ascii="仿宋" w:hAnsi="仿宋" w:eastAsia="仿宋" w:cs="宋体"/>
                <w:color w:val="000000"/>
                <w:sz w:val="28"/>
                <w:szCs w:val="28"/>
                <w:lang w:val="en-US" w:eastAsia="zh-CN"/>
              </w:rPr>
              <w:t xml:space="preserve">四</w:t>
            </w:r>
            <w:r>
              <w:rPr>
                <w:rFonts w:hint="eastAsia" w:ascii="仿宋" w:hAnsi="仿宋" w:eastAsia="仿宋" w:cs="宋体"/>
                <w:color w:val="000000"/>
                <w:sz w:val="28"/>
                <w:szCs w:val="28"/>
              </w:rPr>
              <w:t xml:space="preserve">章《</w:t>
            </w:r>
            <w:r>
              <w:rPr>
                <w:rFonts w:hint="eastAsia" w:ascii="仿宋" w:hAnsi="仿宋" w:eastAsia="仿宋" w:cs="宋体"/>
                <w:color w:val="000000"/>
                <w:sz w:val="28"/>
                <w:szCs w:val="28"/>
                <w:lang w:val="en-US" w:eastAsia="zh-CN"/>
              </w:rPr>
              <w:t xml:space="preserve">评分标准</w:t>
            </w:r>
            <w:r>
              <w:rPr>
                <w:rFonts w:hint="eastAsia" w:ascii="仿宋" w:hAnsi="仿宋" w:eastAsia="仿宋" w:cs="宋体"/>
                <w:color w:val="000000"/>
                <w:sz w:val="28"/>
                <w:szCs w:val="28"/>
              </w:rPr>
              <w:t xml:space="preserve">》）；</w:t>
            </w:r>
            <w:r/>
          </w:p>
          <w:p>
            <w:pPr>
              <w:spacing w:line="400" w:lineRule="exact"/>
              <w:widowControl/>
              <w:rPr>
                <w:rFonts w:hint="eastAsia" w:ascii="仿宋" w:hAnsi="仿宋" w:eastAsia="仿宋" w:cs="宋体"/>
                <w:b/>
                <w:bCs/>
                <w:color w:val="000000"/>
                <w:sz w:val="28"/>
                <w:szCs w:val="28"/>
                <w:highlight w:val="none"/>
                <w:lang w:val="en-US" w:eastAsia="zh-CN" w:bidi="ar-SA"/>
              </w:rPr>
            </w:pPr>
            <w:r>
              <w:rPr>
                <w:rFonts w:hint="eastAsia" w:ascii="仿宋" w:hAnsi="仿宋" w:eastAsia="仿宋" w:cs="宋体"/>
                <w:b/>
                <w:bCs/>
                <w:color w:val="000000"/>
                <w:sz w:val="28"/>
                <w:szCs w:val="28"/>
                <w:highlight w:val="none"/>
                <w:lang w:val="en-US" w:eastAsia="zh-CN" w:bidi="ar-SA"/>
              </w:rPr>
              <w:t xml:space="preserve">六、价格折扣文件格式</w:t>
            </w:r>
            <w:r/>
          </w:p>
          <w:p>
            <w:pPr>
              <w:spacing w:line="400" w:lineRule="exact"/>
              <w:rPr>
                <w:rFonts w:hint="eastAsia"/>
                <w:lang w:val="en-US" w:eastAsia="zh-CN"/>
              </w:rPr>
            </w:pPr>
            <w:r>
              <w:rPr>
                <w:rFonts w:hint="eastAsia" w:ascii="仿宋" w:hAnsi="仿宋" w:eastAsia="仿宋"/>
                <w:b/>
                <w:bCs/>
                <w:color w:val="000000"/>
                <w:sz w:val="28"/>
                <w:szCs w:val="28"/>
                <w:lang w:eastAsia="zh-CN"/>
              </w:rPr>
              <w:t xml:space="preserve">无。</w:t>
            </w:r>
            <w:r/>
          </w:p>
          <w:p>
            <w:pPr>
              <w:jc w:val="both"/>
              <w:spacing w:line="360" w:lineRule="auto"/>
              <w:widowControl w:val="off"/>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1、投标人应对以上文件的合法性、真实性负责。</w:t>
            </w:r>
            <w:r/>
          </w:p>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19.4</w:t>
            </w:r>
            <w:r/>
          </w:p>
        </w:tc>
        <w:tc>
          <w:tcPr>
            <w:tcW w:w="7528" w:type="dxa"/>
            <w:vAlign w:val="top"/>
            <w:textDirection w:val="lrTb"/>
            <w:noWrap w:val="false"/>
          </w:tcPr>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投标人应当通过“苏采云”系统提交数据电文形式的投标文件（即电子投标文件）。</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19.5</w:t>
            </w:r>
            <w:r/>
          </w:p>
        </w:tc>
        <w:tc>
          <w:tcPr>
            <w:tcW w:w="7528" w:type="dxa"/>
            <w:vAlign w:val="top"/>
            <w:textDirection w:val="lrTb"/>
            <w:noWrap w:val="false"/>
          </w:tcPr>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投标文件的退还：投标文件不退还投标人，若采购人索取中标人的数据电文形式的投标文件，须在双方签订政府采购合同后，由采购代理机构提供给采购人。</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19.6</w:t>
            </w:r>
            <w:r/>
          </w:p>
        </w:tc>
        <w:tc>
          <w:tcPr>
            <w:tcW w:w="7528" w:type="dxa"/>
            <w:vAlign w:val="top"/>
            <w:textDirection w:val="lrTb"/>
            <w:noWrap w:val="false"/>
          </w:tcPr>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投标文件的密封、签署、盖章要求：</w:t>
            </w:r>
            <w:r/>
          </w:p>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一、投标文件的密封（加密）要求：投标人应当按照招标文件和“苏采云”系统的要求编制并加密投标文件。本项目投标人须通过“苏采云”系统提供的政府采购客户端工具（使用“CA数字证书”）对其数据电文形式的投标文件加密。</w:t>
            </w:r>
            <w:r/>
          </w:p>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二、投标文件的签署要求：见招标文件第七章《投标文件相关格式》。</w:t>
            </w:r>
            <w:r/>
          </w:p>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Height w:val="274"/>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19.8</w:t>
            </w:r>
            <w:r/>
          </w:p>
        </w:tc>
        <w:tc>
          <w:tcPr>
            <w:tcW w:w="7528" w:type="dxa"/>
            <w:vAlign w:val="top"/>
            <w:textDirection w:val="lrTb"/>
            <w:noWrap w:val="false"/>
          </w:tcPr>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投标人未按规定加密的投标文件，“苏采云”系统应当拒收并提示。</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19.9</w:t>
            </w:r>
            <w:r/>
          </w:p>
        </w:tc>
        <w:tc>
          <w:tcPr>
            <w:tcW w:w="7528" w:type="dxa"/>
            <w:vAlign w:val="top"/>
            <w:textDirection w:val="lrTb"/>
            <w:noWrap w:val="false"/>
          </w:tcPr>
          <w:p>
            <w:pPr>
              <w:jc w:val="left"/>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20.6</w:t>
            </w:r>
            <w:r/>
          </w:p>
        </w:tc>
        <w:tc>
          <w:tcPr>
            <w:tcW w:w="7528" w:type="dxa"/>
            <w:vAlign w:val="top"/>
            <w:textDirection w:val="lrTb"/>
            <w:noWrap w:val="false"/>
          </w:tcPr>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t xml:space="preserve">本项目</w:t>
            </w:r>
            <w:r>
              <w:rPr>
                <w:rFonts w:hint="eastAsia" w:ascii="仿宋" w:hAnsi="仿宋" w:eastAsia="仿宋" w:cs="仿宋"/>
                <w:color w:val="000000"/>
                <w:sz w:val="28"/>
                <w:szCs w:val="28"/>
                <w:highlight w:val="none"/>
                <w:lang w:val="en-US" w:eastAsia="zh-CN" w:bidi="ar-SA"/>
              </w:rPr>
              <w:t xml:space="preserve">不接受超59.299万元（人民币）</w:t>
            </w:r>
            <w:r>
              <w:rPr>
                <w:rFonts w:hint="eastAsia" w:ascii="仿宋" w:hAnsi="仿宋" w:eastAsia="仿宋" w:cs="仿宋"/>
                <w:bCs/>
                <w:color w:val="000000"/>
                <w:sz w:val="28"/>
                <w:szCs w:val="28"/>
                <w:highlight w:val="none"/>
                <w:lang w:val="en-US" w:eastAsia="zh-CN" w:bidi="ar-SA"/>
              </w:rPr>
              <w:t xml:space="preserve">（采购项目预算金额）</w:t>
            </w:r>
            <w:bookmarkStart w:id="6" w:name="OLE_LINK1"/>
            <w:r>
              <w:rPr>
                <w:rFonts w:hint="eastAsia" w:ascii="仿宋" w:hAnsi="仿宋" w:eastAsia="仿宋" w:cs="仿宋"/>
                <w:b w:val="0"/>
                <w:bCs w:val="0"/>
                <w:color w:val="000000"/>
                <w:sz w:val="28"/>
                <w:szCs w:val="28"/>
                <w:highlight w:val="none"/>
                <w:lang w:val="en-US" w:eastAsia="zh-CN" w:bidi="ar-SA"/>
              </w:rPr>
              <w:t xml:space="preserve">。</w:t>
            </w:r>
            <w:bookmarkEnd w:id="6"/>
            <w:r>
              <w:rPr>
                <w:rFonts w:hint="eastAsia" w:ascii="仿宋" w:hAnsi="仿宋" w:eastAsia="仿宋" w:cs="仿宋"/>
                <w:b/>
                <w:bCs/>
                <w:color w:val="000000"/>
                <w:sz w:val="28"/>
                <w:szCs w:val="28"/>
                <w:highlight w:val="none"/>
                <w:lang w:val="en-US" w:eastAsia="zh-CN" w:bidi="ar-SA"/>
              </w:rPr>
              <w:t xml:space="preserve">本项目不接受超过采购预算的报价。</w:t>
            </w:r>
            <w:r>
              <w:rPr>
                <w:rFonts w:hint="eastAsia" w:ascii="仿宋" w:hAnsi="仿宋" w:eastAsia="仿宋" w:cs="仿宋"/>
                <w:bCs/>
                <w:color w:val="000000"/>
                <w:sz w:val="28"/>
                <w:szCs w:val="28"/>
                <w:highlight w:val="none"/>
                <w:lang w:val="en-US" w:eastAsia="zh-CN" w:bidi="ar-SA"/>
              </w:rPr>
              <w:t xml:space="preserve">报价包括全部费用。采购人不再支付报价以外的任何费用。</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21</w:t>
            </w:r>
            <w:r/>
          </w:p>
        </w:tc>
        <w:tc>
          <w:tcPr>
            <w:tcW w:w="75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投标人不需缴纳投标保证金。</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22.1</w:t>
            </w:r>
            <w:r/>
          </w:p>
        </w:tc>
        <w:tc>
          <w:tcPr>
            <w:tcW w:w="7528" w:type="dxa"/>
            <w:vAlign w:val="top"/>
            <w:textDirection w:val="lrTb"/>
            <w:noWrap w:val="false"/>
          </w:tcPr>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投标截止时间：2025年12月10日北京时间10：00</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22.2</w:t>
            </w:r>
            <w:r/>
          </w:p>
        </w:tc>
        <w:tc>
          <w:tcPr>
            <w:tcW w:w="7528" w:type="dxa"/>
            <w:vAlign w:val="top"/>
            <w:textDirection w:val="lrTb"/>
            <w:noWrap w:val="false"/>
          </w:tcPr>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投标文件的提交与接收：</w:t>
            </w:r>
            <w:r/>
          </w:p>
          <w:p>
            <w:pPr>
              <w:ind w:left="480" w:hanging="480"/>
              <w:jc w:val="left"/>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1、投标文件提交与接收时间</w:t>
            </w:r>
            <w:r>
              <w:rPr>
                <w:rFonts w:hint="eastAsia" w:ascii="仿宋" w:hAnsi="仿宋" w:eastAsia="仿宋" w:cs="仿宋"/>
                <w:b/>
                <w:bCs/>
                <w:color w:val="000000"/>
                <w:sz w:val="28"/>
                <w:szCs w:val="28"/>
                <w:highlight w:val="none"/>
                <w:lang w:val="en-US" w:eastAsia="zh-CN" w:bidi="ar-SA"/>
              </w:rPr>
              <w:t xml:space="preserve">：提交投标文件截止时间（2025年12月10日北京时间10：00）前。</w:t>
            </w:r>
            <w:r/>
          </w:p>
          <w:p>
            <w:pPr>
              <w:numPr>
                <w:ilvl w:val="0"/>
                <w:numId w:val="0"/>
              </w:numPr>
              <w:ind w:left="0" w:firstLine="0"/>
              <w:jc w:val="left"/>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2、投标文件提交与接收地点：</w:t>
            </w:r>
            <w:r>
              <w:rPr>
                <w:rFonts w:hint="eastAsia" w:ascii="仿宋" w:hAnsi="仿宋" w:eastAsia="仿宋" w:cs="仿宋"/>
                <w:b/>
                <w:bCs/>
                <w:color w:val="000000"/>
                <w:sz w:val="28"/>
                <w:szCs w:val="28"/>
                <w:highlight w:val="none"/>
                <w:lang w:val="en-US" w:eastAsia="zh-CN" w:bidi="ar-SA"/>
              </w:rPr>
              <w:t xml:space="preserve">投标人应当通过“苏采云”系统提交数据电文形式的投标文件（即电子投标），“苏采云”系统自动接收，在达到开标时间后，使用CA数字证书解密各自投标文件。</w:t>
            </w:r>
            <w:r/>
          </w:p>
          <w:p>
            <w:pPr>
              <w:numPr>
                <w:ilvl w:val="0"/>
                <w:numId w:val="0"/>
              </w:numPr>
              <w:ind w:left="0" w:firstLine="0"/>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3、特别说明：政府采购客户端工具需要导出加密的投标文件（后缀名为zip）。投标文件不得超过150M！（以系统为准）名为“.kedt”）后，离线编制投标文件。采购文件（后缀名为“.kedt”）。</w:t>
            </w:r>
            <w:r/>
          </w:p>
        </w:tc>
      </w:tr>
      <w:tr>
        <w:trPr>
          <w:jc w:val="center"/>
          <w:trHeight w:val="582"/>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23.2</w:t>
            </w:r>
            <w:r/>
          </w:p>
        </w:tc>
        <w:tc>
          <w:tcPr>
            <w:tcW w:w="7528" w:type="dxa"/>
            <w:vAlign w:val="top"/>
            <w:textDirection w:val="lrTb"/>
            <w:noWrap w:val="false"/>
          </w:tcPr>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招标文件对本项目分包的规定：采购人不允许采用分包方式履行合同。</w:t>
            </w:r>
            <w:r/>
          </w:p>
        </w:tc>
      </w:tr>
      <w:tr>
        <w:trPr>
          <w:jc w:val="center"/>
        </w:trPr>
        <w:tc>
          <w:tcPr>
            <w:tcW w:w="1510"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7528"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四、开标、评标</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26.1</w:t>
            </w:r>
            <w:r/>
          </w:p>
        </w:tc>
        <w:tc>
          <w:tcPr>
            <w:tcW w:w="7528" w:type="dxa"/>
            <w:vAlign w:val="top"/>
            <w:textDirection w:val="lrTb"/>
            <w:noWrap w:val="false"/>
          </w:tcPr>
          <w:p>
            <w:pPr>
              <w:jc w:val="left"/>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开标时间及地点：</w:t>
            </w:r>
            <w:r/>
          </w:p>
          <w:p>
            <w:pPr>
              <w:pStyle w:val="862"/>
              <w:jc w:val="left"/>
              <w:spacing w:line="360" w:lineRule="auto"/>
              <w:widowControl/>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1、开标时间：2025年12月10日北京时间10：00</w:t>
            </w:r>
            <w:r/>
          </w:p>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2、开标地点：“苏采云”系统（网址： http://jszfcg.jsczt.cn/）“开标大厅”或进入徐州政府采购网（网址：http://czj.xz.gov.cn/Home/HomeIndex）--业务工作--用户登录，点击“苏采云”进入系统“开标大厅”。</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26.3</w:t>
            </w:r>
            <w:r/>
          </w:p>
        </w:tc>
        <w:tc>
          <w:tcPr>
            <w:tcW w:w="7528" w:type="dxa"/>
            <w:vAlign w:val="top"/>
            <w:textDirection w:val="lrTb"/>
            <w:noWrap w:val="false"/>
          </w:tcPr>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所有投标人解密（或解密时间）结束后，“苏采云”系统生成开标记录并向社会公众公布，但依法应当保密的除外。</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31.1</w:t>
            </w:r>
            <w:r/>
          </w:p>
        </w:tc>
        <w:tc>
          <w:tcPr>
            <w:tcW w:w="7528" w:type="dxa"/>
            <w:vAlign w:val="top"/>
            <w:textDirection w:val="lrTb"/>
            <w:noWrap w:val="false"/>
          </w:tcPr>
          <w:p>
            <w:pPr>
              <w:jc w:val="left"/>
              <w:spacing w:line="360" w:lineRule="auto"/>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本项目的评标方法：综合评分法。</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7528"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五、中标和合同</w:t>
            </w:r>
            <w:r/>
          </w:p>
        </w:tc>
      </w:tr>
      <w:tr>
        <w:trPr>
          <w:jc w:val="center"/>
          <w:trHeight w:val="1509"/>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38.2</w:t>
            </w:r>
            <w:r/>
          </w:p>
        </w:tc>
        <w:tc>
          <w:tcPr>
            <w:tcW w:w="7528" w:type="dxa"/>
            <w:vAlign w:val="top"/>
            <w:textDirection w:val="lrTb"/>
            <w:noWrap w:val="false"/>
          </w:tcPr>
          <w:p>
            <w:pPr>
              <w:jc w:val="left"/>
              <w:spacing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中标候选人并列的，招标文件规定的确定中标人方式：采用综合评分法的，评标结果按评审后得分由高到低顺序排列。得分相同的，按投标报价由低到高顺序排列。得分且投标报价相同的，按项目实施方案优劣顺序排列。中标候选人应当不超过3个，并标明排序。</w:t>
            </w:r>
            <w:r/>
          </w:p>
        </w:tc>
      </w:tr>
      <w:tr>
        <w:trPr>
          <w:jc w:val="center"/>
          <w:trHeight w:val="1278"/>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40.</w:t>
            </w:r>
            <w:r/>
          </w:p>
        </w:tc>
        <w:tc>
          <w:tcPr>
            <w:tcW w:w="7528" w:type="dxa"/>
            <w:vAlign w:val="top"/>
            <w:textDirection w:val="lrTb"/>
            <w:noWrap w:val="false"/>
          </w:tcPr>
          <w:p>
            <w:pPr>
              <w:jc w:val="left"/>
              <w:spacing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7528"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六、询问和质疑</w:t>
            </w:r>
            <w:r/>
          </w:p>
        </w:tc>
      </w:tr>
      <w:tr>
        <w:trPr>
          <w:jc w:val="center"/>
        </w:trPr>
        <w:tc>
          <w:tcPr>
            <w:tcW w:w="1510" w:type="dxa"/>
            <w:vAlign w:val="center"/>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43.</w:t>
            </w:r>
            <w:r/>
          </w:p>
        </w:tc>
        <w:tc>
          <w:tcPr>
            <w:tcW w:w="7528" w:type="dxa"/>
            <w:vAlign w:val="top"/>
            <w:textDirection w:val="lrTb"/>
            <w:noWrap w:val="false"/>
          </w:tcPr>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1、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2、供应商在法定质疑期内一次性提出针对同一采购程序环节的质疑。</w:t>
            </w:r>
            <w:r/>
          </w:p>
          <w:p>
            <w:pPr>
              <w:jc w:val="left"/>
              <w:spacing w:line="360" w:lineRule="auto"/>
              <w:widowControl w:val="off"/>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质疑接收人：蒋旭   联系电话：0516-83200960</w:t>
            </w:r>
            <w:r/>
          </w:p>
          <w:p>
            <w:pPr>
              <w:jc w:val="left"/>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地址：徐州市云龙区绿地商务城B3-3地块3号楼1单元2201</w:t>
            </w:r>
            <w:r/>
          </w:p>
        </w:tc>
      </w:tr>
      <w:tr>
        <w:trPr>
          <w:jc w:val="center"/>
        </w:trPr>
        <w:tc>
          <w:tcPr>
            <w:tcW w:w="1510" w:type="dxa"/>
            <w:vAlign w:val="top"/>
            <w:textDirection w:val="lrTb"/>
            <w:noWrap w:val="false"/>
          </w:tcPr>
          <w:p>
            <w:pPr>
              <w:jc w:val="center"/>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b/>
                <w:bCs/>
                <w:color w:val="000000"/>
                <w:sz w:val="28"/>
                <w:szCs w:val="28"/>
                <w:highlight w:val="none"/>
                <w:lang w:val="en-US" w:eastAsia="zh-CN" w:bidi="ar-SA"/>
              </w:rPr>
              <w:t xml:space="preserve">附加说明</w:t>
            </w:r>
            <w:r/>
          </w:p>
        </w:tc>
        <w:tc>
          <w:tcPr>
            <w:tcW w:w="75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中标人在收到中标通知书时，须向采购代理机构提交《开标一览表》和《分项价格表》的数据文件（WORD格式）及与电子投标文件一致的纸质投标文件正本一份、副本2份。</w:t>
            </w:r>
            <w:r/>
          </w:p>
        </w:tc>
      </w:tr>
    </w:tbl>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33"/>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w:t>
      </w:r>
      <w:r/>
    </w:p>
    <w:p>
      <w:pPr>
        <w:ind w:left="0" w:right="0" w:firstLine="480"/>
        <w:jc w:val="both"/>
        <w:spacing w:before="0" w:after="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本章附件：</w:t>
      </w:r>
      <w:r>
        <w:rPr>
          <w:rFonts w:hint="eastAsia" w:ascii="仿宋" w:hAnsi="仿宋" w:eastAsia="仿宋" w:cs="仿宋"/>
          <w:b/>
          <w:color w:val="000000"/>
          <w:sz w:val="28"/>
          <w:szCs w:val="28"/>
          <w:highlight w:val="none"/>
        </w:rPr>
        <w:t xml:space="preserve">招标代理服务收费标准</w:t>
      </w:r>
      <w:r/>
    </w:p>
    <w:tbl>
      <w:tblPr>
        <w:tblStyle w:val="891"/>
        <w:tblW w:w="86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Mar>
              <w:left w:w="108" w:type="dxa"/>
              <w:top w:w="0" w:type="dxa"/>
              <w:right w:w="108" w:type="dxa"/>
              <w:bottom w:w="0" w:type="dxa"/>
            </w:tcMar>
            <w:tcW w:w="5887"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中标或成交金额</w:t>
            </w:r>
            <w:r/>
          </w:p>
        </w:tc>
        <w:tc>
          <w:tcPr>
            <w:tcMar>
              <w:left w:w="108" w:type="dxa"/>
              <w:top w:w="0" w:type="dxa"/>
              <w:right w:w="108" w:type="dxa"/>
              <w:bottom w:w="0" w:type="dxa"/>
            </w:tcMar>
            <w:tcW w:w="2713"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费率</w:t>
            </w:r>
            <w:r/>
          </w:p>
        </w:tc>
      </w:tr>
      <w:tr>
        <w:trPr>
          <w:trHeight w:val="489"/>
        </w:trPr>
        <w:tc>
          <w:tcPr>
            <w:tcMar>
              <w:left w:w="108" w:type="dxa"/>
              <w:top w:w="0" w:type="dxa"/>
              <w:right w:w="108" w:type="dxa"/>
              <w:bottom w:w="0" w:type="dxa"/>
            </w:tcMar>
            <w:tcW w:w="5887" w:type="dxa"/>
            <w:vAlign w:val="center"/>
            <w:textDirection w:val="lrTb"/>
            <w:noWrap w:val="false"/>
          </w:tcPr>
          <w:p>
            <w:pPr>
              <w:ind w:left="0" w:right="0" w:firstLine="0"/>
              <w:jc w:val="both"/>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最低收费金额(每个委托项目)</w:t>
            </w:r>
            <w:r/>
          </w:p>
        </w:tc>
        <w:tc>
          <w:tcPr>
            <w:tcMar>
              <w:left w:w="108" w:type="dxa"/>
              <w:top w:w="0" w:type="dxa"/>
              <w:right w:w="108" w:type="dxa"/>
              <w:bottom w:w="0" w:type="dxa"/>
            </w:tcMar>
            <w:tcW w:w="2713"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5000元</w:t>
            </w:r>
            <w:r/>
          </w:p>
        </w:tc>
      </w:tr>
      <w:tr>
        <w:trPr>
          <w:trHeight w:val="434"/>
        </w:trPr>
        <w:tc>
          <w:tcPr>
            <w:tcMar>
              <w:left w:w="108" w:type="dxa"/>
              <w:top w:w="0" w:type="dxa"/>
              <w:right w:w="108" w:type="dxa"/>
              <w:bottom w:w="0" w:type="dxa"/>
            </w:tcMar>
            <w:tcW w:w="5887" w:type="dxa"/>
            <w:vAlign w:val="center"/>
            <w:textDirection w:val="lrTb"/>
            <w:noWrap w:val="false"/>
          </w:tcPr>
          <w:p>
            <w:pPr>
              <w:ind w:left="0" w:right="0" w:firstLine="0"/>
              <w:jc w:val="both"/>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50万元以下（含50万元）</w:t>
            </w:r>
            <w:r/>
          </w:p>
        </w:tc>
        <w:tc>
          <w:tcPr>
            <w:tcMar>
              <w:left w:w="108" w:type="dxa"/>
              <w:top w:w="0" w:type="dxa"/>
              <w:right w:w="108" w:type="dxa"/>
              <w:bottom w:w="0" w:type="dxa"/>
            </w:tcMar>
            <w:tcW w:w="2713"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1.60%</w:t>
            </w:r>
            <w:r/>
          </w:p>
        </w:tc>
      </w:tr>
      <w:tr>
        <w:trPr>
          <w:trHeight w:val="414"/>
        </w:trPr>
        <w:tc>
          <w:tcPr>
            <w:tcMar>
              <w:left w:w="108" w:type="dxa"/>
              <w:top w:w="0" w:type="dxa"/>
              <w:right w:w="108" w:type="dxa"/>
              <w:bottom w:w="0" w:type="dxa"/>
            </w:tcMar>
            <w:tcW w:w="5887" w:type="dxa"/>
            <w:vAlign w:val="center"/>
            <w:textDirection w:val="lrTb"/>
            <w:noWrap w:val="false"/>
          </w:tcPr>
          <w:p>
            <w:pPr>
              <w:ind w:left="0" w:right="0" w:firstLine="0"/>
              <w:jc w:val="both"/>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50-400万元（含400万元）</w:t>
            </w:r>
            <w:r/>
          </w:p>
        </w:tc>
        <w:tc>
          <w:tcPr>
            <w:tcMar>
              <w:left w:w="108" w:type="dxa"/>
              <w:top w:w="0" w:type="dxa"/>
              <w:right w:w="108" w:type="dxa"/>
              <w:bottom w:w="0" w:type="dxa"/>
            </w:tcMar>
            <w:tcW w:w="2713"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1.50%</w:t>
            </w:r>
            <w:r/>
          </w:p>
        </w:tc>
      </w:tr>
      <w:tr>
        <w:trPr>
          <w:trHeight w:val="605"/>
        </w:trPr>
        <w:tc>
          <w:tcPr>
            <w:tcMar>
              <w:left w:w="108" w:type="dxa"/>
              <w:top w:w="0" w:type="dxa"/>
              <w:right w:w="108" w:type="dxa"/>
              <w:bottom w:w="0" w:type="dxa"/>
            </w:tcMar>
            <w:tcW w:w="5887" w:type="dxa"/>
            <w:vAlign w:val="center"/>
            <w:textDirection w:val="lrTb"/>
            <w:noWrap w:val="false"/>
          </w:tcPr>
          <w:p>
            <w:pPr>
              <w:ind w:left="0" w:right="0" w:firstLine="0"/>
              <w:jc w:val="both"/>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400-1000万元（含1000万元）</w:t>
            </w:r>
            <w:r/>
          </w:p>
        </w:tc>
        <w:tc>
          <w:tcPr>
            <w:tcMar>
              <w:left w:w="108" w:type="dxa"/>
              <w:top w:w="0" w:type="dxa"/>
              <w:right w:w="108" w:type="dxa"/>
              <w:bottom w:w="0" w:type="dxa"/>
            </w:tcMar>
            <w:tcW w:w="2713"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1.10%</w:t>
            </w:r>
            <w:r/>
          </w:p>
        </w:tc>
      </w:tr>
      <w:tr>
        <w:trPr>
          <w:trHeight w:val="480"/>
        </w:trPr>
        <w:tc>
          <w:tcPr>
            <w:tcMar>
              <w:left w:w="108" w:type="dxa"/>
              <w:top w:w="0" w:type="dxa"/>
              <w:right w:w="108" w:type="dxa"/>
              <w:bottom w:w="0" w:type="dxa"/>
            </w:tcMar>
            <w:tcW w:w="5887" w:type="dxa"/>
            <w:vAlign w:val="center"/>
            <w:textDirection w:val="lrTb"/>
            <w:noWrap w:val="false"/>
          </w:tcPr>
          <w:p>
            <w:pPr>
              <w:ind w:left="0" w:right="0" w:firstLine="0"/>
              <w:jc w:val="both"/>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1000-5000万元（含5000万元）</w:t>
            </w:r>
            <w:r/>
          </w:p>
        </w:tc>
        <w:tc>
          <w:tcPr>
            <w:tcMar>
              <w:left w:w="108" w:type="dxa"/>
              <w:top w:w="0" w:type="dxa"/>
              <w:right w:w="108" w:type="dxa"/>
              <w:bottom w:w="0" w:type="dxa"/>
            </w:tcMar>
            <w:tcW w:w="2713"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0.80%</w:t>
            </w:r>
            <w:r/>
          </w:p>
        </w:tc>
      </w:tr>
      <w:tr>
        <w:trPr>
          <w:trHeight w:val="486"/>
        </w:trPr>
        <w:tc>
          <w:tcPr>
            <w:tcMar>
              <w:left w:w="108" w:type="dxa"/>
              <w:top w:w="0" w:type="dxa"/>
              <w:right w:w="108" w:type="dxa"/>
              <w:bottom w:w="0" w:type="dxa"/>
            </w:tcMar>
            <w:tcW w:w="5887" w:type="dxa"/>
            <w:vAlign w:val="center"/>
            <w:textDirection w:val="lrTb"/>
            <w:noWrap w:val="false"/>
          </w:tcPr>
          <w:p>
            <w:pPr>
              <w:ind w:left="0" w:right="0" w:firstLine="0"/>
              <w:jc w:val="both"/>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5000-1亿元（含1亿元）</w:t>
            </w:r>
            <w:r/>
          </w:p>
        </w:tc>
        <w:tc>
          <w:tcPr>
            <w:tcMar>
              <w:left w:w="108" w:type="dxa"/>
              <w:top w:w="0" w:type="dxa"/>
              <w:right w:w="108" w:type="dxa"/>
              <w:bottom w:w="0" w:type="dxa"/>
            </w:tcMar>
            <w:tcW w:w="2713"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0.25%</w:t>
            </w:r>
            <w:r/>
          </w:p>
        </w:tc>
      </w:tr>
      <w:tr>
        <w:trPr>
          <w:trHeight w:val="480"/>
        </w:trPr>
        <w:tc>
          <w:tcPr>
            <w:tcMar>
              <w:left w:w="108" w:type="dxa"/>
              <w:top w:w="0" w:type="dxa"/>
              <w:right w:w="108" w:type="dxa"/>
              <w:bottom w:w="0" w:type="dxa"/>
            </w:tcMar>
            <w:tcW w:w="5887" w:type="dxa"/>
            <w:vAlign w:val="center"/>
            <w:textDirection w:val="lrTb"/>
            <w:noWrap w:val="false"/>
          </w:tcPr>
          <w:p>
            <w:pPr>
              <w:ind w:left="0" w:right="0" w:firstLine="0"/>
              <w:jc w:val="both"/>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1-10亿（含10亿元）</w:t>
            </w:r>
            <w:r/>
          </w:p>
        </w:tc>
        <w:tc>
          <w:tcPr>
            <w:tcMar>
              <w:left w:w="108" w:type="dxa"/>
              <w:top w:w="0" w:type="dxa"/>
              <w:right w:w="108" w:type="dxa"/>
              <w:bottom w:w="0" w:type="dxa"/>
            </w:tcMar>
            <w:tcW w:w="2713"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0.05%</w:t>
            </w:r>
            <w:r/>
          </w:p>
        </w:tc>
      </w:tr>
      <w:tr>
        <w:trPr>
          <w:trHeight w:val="480"/>
        </w:trPr>
        <w:tc>
          <w:tcPr>
            <w:tcMar>
              <w:left w:w="108" w:type="dxa"/>
              <w:top w:w="0" w:type="dxa"/>
              <w:right w:w="108" w:type="dxa"/>
              <w:bottom w:w="0" w:type="dxa"/>
            </w:tcMar>
            <w:tcW w:w="5887" w:type="dxa"/>
            <w:vAlign w:val="center"/>
            <w:textDirection w:val="lrTb"/>
            <w:noWrap w:val="false"/>
          </w:tcPr>
          <w:p>
            <w:pPr>
              <w:ind w:left="0" w:right="0" w:firstLine="0"/>
              <w:jc w:val="both"/>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10-50亿元（含50亿元）</w:t>
            </w:r>
            <w:r/>
          </w:p>
        </w:tc>
        <w:tc>
          <w:tcPr>
            <w:tcMar>
              <w:left w:w="108" w:type="dxa"/>
              <w:top w:w="0" w:type="dxa"/>
              <w:right w:w="108" w:type="dxa"/>
              <w:bottom w:w="0" w:type="dxa"/>
            </w:tcMar>
            <w:tcW w:w="2713"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0.01%</w:t>
            </w:r>
            <w:r/>
          </w:p>
        </w:tc>
      </w:tr>
      <w:tr>
        <w:trPr>
          <w:trHeight w:val="480"/>
        </w:trPr>
        <w:tc>
          <w:tcPr>
            <w:tcMar>
              <w:left w:w="108" w:type="dxa"/>
              <w:top w:w="0" w:type="dxa"/>
              <w:right w:w="108" w:type="dxa"/>
              <w:bottom w:w="0" w:type="dxa"/>
            </w:tcMar>
            <w:tcW w:w="5887" w:type="dxa"/>
            <w:vAlign w:val="center"/>
            <w:textDirection w:val="lrTb"/>
            <w:noWrap w:val="false"/>
          </w:tcPr>
          <w:p>
            <w:pPr>
              <w:ind w:left="0" w:right="0" w:firstLine="0"/>
              <w:jc w:val="both"/>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50亿元以上</w:t>
            </w:r>
            <w:r/>
          </w:p>
        </w:tc>
        <w:tc>
          <w:tcPr>
            <w:tcMar>
              <w:left w:w="108" w:type="dxa"/>
              <w:top w:w="0" w:type="dxa"/>
              <w:right w:w="108" w:type="dxa"/>
              <w:bottom w:w="0" w:type="dxa"/>
            </w:tcMar>
            <w:tcW w:w="2713" w:type="dxa"/>
            <w:vAlign w:val="center"/>
            <w:textDirection w:val="lrTb"/>
            <w:noWrap w:val="false"/>
          </w:tcPr>
          <w:p>
            <w:pPr>
              <w:ind w:left="0" w:right="0" w:firstLine="0"/>
              <w:jc w:val="center"/>
              <w:spacing w:before="0" w:after="0"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0.005%</w:t>
            </w:r>
            <w:r/>
          </w:p>
        </w:tc>
      </w:tr>
    </w:tbl>
    <w:p>
      <w:pPr>
        <w:ind w:left="0" w:right="0" w:firstLine="0"/>
        <w:jc w:val="both"/>
        <w:spacing w:before="0" w:after="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说明：</w:t>
      </w:r>
      <w:r/>
    </w:p>
    <w:p>
      <w:pPr>
        <w:ind w:left="0" w:right="0" w:firstLine="0"/>
        <w:jc w:val="both"/>
        <w:spacing w:before="0" w:after="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1.按上表计算的收费为代理服务全过程的收费金额。各社会代理机构不另外收取采购文件制作售卖费用。</w:t>
      </w:r>
      <w:r/>
    </w:p>
    <w:p>
      <w:pPr>
        <w:ind w:left="0" w:right="0" w:firstLine="0"/>
        <w:jc w:val="both"/>
        <w:spacing w:before="0" w:after="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2.代理服务费按差额定率累进法计算。</w:t>
      </w:r>
      <w:r/>
    </w:p>
    <w:p>
      <w:pPr>
        <w:ind w:left="0" w:right="0" w:firstLine="0"/>
        <w:jc w:val="both"/>
        <w:spacing w:before="0" w:after="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3.代理服务费基准金额（按差额定率累进法计算的）=中标金额（按差额定率累进法计算的）*费率（%）。</w:t>
      </w:r>
      <w:r/>
    </w:p>
    <w:p>
      <w:pPr>
        <w:ind w:left="0" w:right="0" w:firstLine="0"/>
        <w:jc w:val="both"/>
        <w:spacing w:before="0" w:after="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4.代理服务费应收取金额=代理服务费基准金额（按差额定率累进法计算的）的合计数。</w:t>
      </w:r>
      <w:r/>
    </w:p>
    <w:p>
      <w:pPr>
        <w:ind w:left="0" w:right="0" w:firstLine="0"/>
        <w:jc w:val="both"/>
        <w:spacing w:before="0" w:after="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5.定点类等无金额或事先不能计算出价格总额的项目，按中标（成交）金额100万元计算服务费。</w:t>
      </w:r>
      <w:r/>
    </w:p>
    <w:p>
      <w:pPr>
        <w:ind w:left="0" w:right="0" w:firstLine="0"/>
        <w:jc w:val="both"/>
        <w:spacing w:before="0" w:after="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6.有分包（分</w:t>
      </w:r>
      <w:r>
        <w:rPr>
          <w:rFonts w:hint="eastAsia" w:ascii="仿宋" w:hAnsi="仿宋" w:eastAsia="仿宋" w:cs="仿宋"/>
          <w:color w:val="000000"/>
          <w:sz w:val="28"/>
          <w:szCs w:val="28"/>
          <w:highlight w:val="none"/>
          <w:lang w:eastAsia="zh-CN"/>
        </w:rPr>
        <w:t xml:space="preserve">采购包</w:t>
      </w:r>
      <w:r>
        <w:rPr>
          <w:rFonts w:hint="eastAsia" w:ascii="仿宋" w:hAnsi="仿宋" w:eastAsia="仿宋" w:cs="仿宋"/>
          <w:color w:val="000000"/>
          <w:sz w:val="28"/>
          <w:szCs w:val="28"/>
          <w:highlight w:val="none"/>
        </w:rPr>
        <w:t xml:space="preserve">）的按一个项目计算。</w:t>
      </w:r>
      <w:r/>
    </w:p>
    <w:p>
      <w:pPr>
        <w:ind w:left="0" w:right="0" w:firstLine="0"/>
        <w:jc w:val="both"/>
        <w:spacing w:before="0" w:after="0"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7.以上价格为协会指导价，双方可根据项目难易程度和优质优价原则协商确定。</w:t>
      </w:r>
      <w:r/>
    </w:p>
    <w:p>
      <w:pPr>
        <w:pStyle w:val="833"/>
        <w:ind w:firstLine="2514"/>
        <w:jc w:val="both"/>
        <w:spacing w:line="360" w:lineRule="auto"/>
        <w:rPr>
          <w:rFonts w:hint="eastAsia" w:ascii="仿宋" w:hAnsi="仿宋" w:eastAsia="仿宋" w:cs="仿宋"/>
          <w:b/>
          <w:bCs/>
          <w:color w:val="000000"/>
          <w:sz w:val="32"/>
          <w:szCs w:val="32"/>
          <w:highlight w:val="none"/>
        </w:rPr>
      </w:pPr>
      <w:r>
        <w:rPr>
          <w:rFonts w:hint="eastAsia" w:ascii="宋体" w:hAnsi="宋体" w:eastAsia="宋体" w:cs="宋体"/>
          <w:b/>
          <w:bCs/>
          <w:color w:val="000000"/>
          <w:sz w:val="40"/>
          <w:szCs w:val="40"/>
          <w:highlight w:val="none"/>
          <w:lang w:val="en-US" w:eastAsia="zh-CN"/>
        </w:rPr>
        <w:t xml:space="preserve">第四章 </w:t>
      </w:r>
      <w:r>
        <w:rPr>
          <w:rFonts w:hint="eastAsia" w:ascii="宋体" w:hAnsi="宋体" w:eastAsia="宋体" w:cs="宋体"/>
          <w:b/>
          <w:bCs/>
          <w:color w:val="000000"/>
          <w:sz w:val="40"/>
          <w:szCs w:val="40"/>
          <w:highlight w:val="none"/>
          <w:lang w:eastAsia="zh-CN"/>
        </w:rPr>
        <w:t xml:space="preserve">评标标准</w:t>
      </w:r>
      <w:r/>
    </w:p>
    <w:tbl>
      <w:tblPr>
        <w:tblStyle w:val="832"/>
        <w:tblW w:w="9642"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6138"/>
      </w:tblGrid>
      <w:tr>
        <w:trPr>
          <w:jc w:val="center"/>
          <w:trHeight w:val="407"/>
        </w:trPr>
        <w:tc>
          <w:tcPr>
            <w:gridSpan w:val="2"/>
            <w:tcW w:w="3504"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项目</w:t>
            </w:r>
            <w:r/>
          </w:p>
        </w:tc>
        <w:tc>
          <w:tcPr>
            <w:tcW w:w="6138"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评分标准</w:t>
            </w:r>
            <w:r/>
          </w:p>
        </w:tc>
      </w:tr>
      <w:tr>
        <w:trPr>
          <w:jc w:val="center"/>
          <w:trHeight w:val="1202"/>
        </w:trPr>
        <w:tc>
          <w:tcPr>
            <w:tcW w:w="2024" w:type="dxa"/>
            <w:vAlign w:val="center"/>
            <w:textDirection w:val="lrTb"/>
            <w:noWrap w:val="false"/>
          </w:tcPr>
          <w:p>
            <w:pPr>
              <w:jc w:val="center"/>
              <w:rPr>
                <w:rFonts w:hint="eastAsia" w:ascii="宋体" w:hAnsi="宋体" w:eastAsia="宋体" w:cs="宋体"/>
                <w:sz w:val="22"/>
                <w:szCs w:val="28"/>
              </w:rPr>
            </w:pPr>
            <w:r>
              <w:rPr>
                <w:rFonts w:hint="eastAsia" w:ascii="宋体" w:hAnsi="宋体" w:eastAsia="宋体" w:cs="宋体"/>
                <w:sz w:val="22"/>
                <w:szCs w:val="28"/>
              </w:rPr>
              <w:t xml:space="preserve">价格部分(</w:t>
            </w:r>
            <w:r>
              <w:rPr>
                <w:rFonts w:hint="eastAsia" w:ascii="宋体" w:hAnsi="宋体" w:cs="宋体"/>
                <w:sz w:val="22"/>
                <w:szCs w:val="28"/>
                <w:lang w:val="en-US" w:eastAsia="zh-CN"/>
              </w:rPr>
              <w:t xml:space="preserve">30</w:t>
            </w:r>
            <w:r>
              <w:rPr>
                <w:rFonts w:hint="eastAsia" w:ascii="宋体" w:hAnsi="宋体" w:eastAsia="宋体" w:cs="宋体"/>
                <w:sz w:val="22"/>
                <w:szCs w:val="28"/>
              </w:rPr>
              <w:t xml:space="preserve">分)</w:t>
            </w:r>
            <w:r/>
          </w:p>
        </w:tc>
        <w:tc>
          <w:tcPr>
            <w:tcW w:w="1480" w:type="dxa"/>
            <w:vAlign w:val="center"/>
            <w:textDirection w:val="lrTb"/>
            <w:noWrap w:val="false"/>
          </w:tcPr>
          <w:p>
            <w:pPr>
              <w:jc w:val="center"/>
              <w:rPr>
                <w:rFonts w:hint="eastAsia" w:ascii="宋体" w:hAnsi="宋体" w:eastAsia="宋体" w:cs="宋体"/>
                <w:sz w:val="22"/>
                <w:szCs w:val="28"/>
              </w:rPr>
            </w:pPr>
            <w:r>
              <w:rPr>
                <w:rFonts w:hint="eastAsia" w:ascii="宋体" w:hAnsi="宋体" w:eastAsia="宋体" w:cs="宋体"/>
                <w:sz w:val="22"/>
                <w:szCs w:val="28"/>
              </w:rPr>
              <w:t xml:space="preserve">价格部分(</w:t>
            </w:r>
            <w:r>
              <w:rPr>
                <w:rFonts w:hint="eastAsia" w:ascii="宋体" w:hAnsi="宋体" w:cs="宋体"/>
                <w:sz w:val="22"/>
                <w:szCs w:val="28"/>
                <w:lang w:val="en-US" w:eastAsia="zh-CN"/>
              </w:rPr>
              <w:t xml:space="preserve">3</w:t>
            </w:r>
            <w:r>
              <w:rPr>
                <w:rFonts w:hint="eastAsia" w:ascii="宋体" w:hAnsi="宋体" w:eastAsia="宋体" w:cs="宋体"/>
                <w:sz w:val="22"/>
                <w:szCs w:val="28"/>
              </w:rPr>
              <w:t xml:space="preserve">0分)</w:t>
            </w:r>
            <w:r/>
          </w:p>
        </w:tc>
        <w:tc>
          <w:tcPr>
            <w:tcW w:w="6138" w:type="dxa"/>
            <w:vAlign w:val="center"/>
            <w:textDirection w:val="lrTb"/>
            <w:noWrap w:val="false"/>
          </w:tcPr>
          <w:p>
            <w:pPr>
              <w:rPr>
                <w:rFonts w:hint="eastAsia" w:ascii="宋体" w:hAnsi="宋体" w:eastAsia="宋体" w:cs="宋体"/>
                <w:sz w:val="22"/>
                <w:szCs w:val="28"/>
              </w:rPr>
            </w:pPr>
            <w:r>
              <w:rPr>
                <w:rFonts w:hint="default" w:ascii="宋体" w:hAnsi="宋体" w:eastAsia="宋体" w:cs="宋体"/>
                <w:sz w:val="22"/>
                <w:szCs w:val="28"/>
              </w:rPr>
              <w:t xml:space="preserve">各投标人价格得分=最低报价（投标人的最低价格）÷各投标人价格×</w:t>
            </w:r>
            <w:r>
              <w:rPr>
                <w:rFonts w:hint="eastAsia" w:ascii="宋体" w:hAnsi="宋体" w:cs="宋体"/>
                <w:sz w:val="22"/>
                <w:szCs w:val="28"/>
                <w:lang w:val="en-US" w:eastAsia="zh-CN"/>
              </w:rPr>
              <w:t xml:space="preserve">30</w:t>
            </w:r>
            <w:r>
              <w:rPr>
                <w:rFonts w:hint="default" w:ascii="宋体" w:hAnsi="宋体" w:eastAsia="宋体" w:cs="宋体"/>
                <w:sz w:val="22"/>
                <w:szCs w:val="28"/>
              </w:rPr>
              <w:t xml:space="preserve">（按四舍五入取至小数点后两位）</w:t>
            </w:r>
            <w:r/>
          </w:p>
        </w:tc>
      </w:tr>
      <w:tr>
        <w:trPr>
          <w:jc w:val="center"/>
          <w:trHeight w:val="2293"/>
        </w:trPr>
        <w:tc>
          <w:tcPr>
            <w:tcW w:w="2024" w:type="dxa"/>
            <w:vAlign w:val="center"/>
            <w:textDirection w:val="lrTb"/>
            <w:noWrap w:val="false"/>
          </w:tcPr>
          <w:p>
            <w:pPr>
              <w:jc w:val="center"/>
              <w:rPr>
                <w:rFonts w:hint="eastAsia" w:ascii="宋体" w:hAnsi="宋体" w:eastAsia="宋体" w:cs="宋体"/>
                <w:sz w:val="22"/>
                <w:szCs w:val="28"/>
              </w:rPr>
            </w:pPr>
            <w:r>
              <w:rPr>
                <w:rFonts w:hint="eastAsia" w:ascii="宋体" w:hAnsi="宋体" w:eastAsia="宋体" w:cs="宋体"/>
                <w:sz w:val="22"/>
                <w:szCs w:val="28"/>
              </w:rPr>
              <w:t xml:space="preserve">商务部分（</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w:t>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8"/>
              </w:rPr>
            </w:pPr>
            <w:r>
              <w:rPr>
                <w:rFonts w:hint="eastAsia" w:ascii="宋体" w:hAnsi="宋体" w:eastAsia="宋体" w:cs="宋体"/>
                <w:sz w:val="22"/>
                <w:szCs w:val="28"/>
              </w:rPr>
              <w:t xml:space="preserve">投标人业绩（</w:t>
            </w:r>
            <w:r>
              <w:rPr>
                <w:rFonts w:hint="eastAsia" w:ascii="宋体" w:hAnsi="宋体" w:eastAsia="宋体" w:cs="宋体"/>
                <w:sz w:val="22"/>
                <w:szCs w:val="28"/>
                <w:lang w:val="en-US" w:eastAsia="zh-CN"/>
              </w:rPr>
              <w:t xml:space="preserve">4</w:t>
            </w:r>
            <w:r>
              <w:rPr>
                <w:rFonts w:hint="eastAsia" w:ascii="宋体" w:hAnsi="宋体" w:eastAsia="宋体" w:cs="宋体"/>
                <w:sz w:val="22"/>
                <w:szCs w:val="28"/>
              </w:rPr>
              <w:t xml:space="preserve">分）</w:t>
            </w:r>
            <w:r/>
          </w:p>
        </w:tc>
        <w:tc>
          <w:tcPr>
            <w:tcW w:w="6138" w:type="dxa"/>
            <w:vAlign w:val="center"/>
            <w:textDirection w:val="lrTb"/>
            <w:noWrap w:val="false"/>
          </w:tcPr>
          <w:p>
            <w:pPr>
              <w:ind w:firstLine="420"/>
              <w:jc w:val="both"/>
              <w:spacing w:after="120"/>
              <w:widowControl w:val="off"/>
              <w:rPr>
                <w:rFonts w:hint="eastAsia" w:ascii="Times New Roman" w:hAnsi="仿宋" w:eastAsia="宋体" w:cs="仿宋_GB2312"/>
                <w:bCs/>
                <w:sz w:val="22"/>
                <w:szCs w:val="28"/>
                <w:lang w:val="en-US" w:eastAsia="zh-CN" w:bidi="ar-SA"/>
              </w:rPr>
            </w:pPr>
            <w:r>
              <w:rPr>
                <w:rFonts w:hint="eastAsia" w:ascii="Times New Roman" w:hAnsi="仿宋" w:eastAsia="宋体" w:cs="仿宋_GB2312"/>
                <w:bCs/>
                <w:sz w:val="22"/>
                <w:szCs w:val="28"/>
                <w:lang w:val="en-US" w:eastAsia="zh-CN" w:bidi="ar-SA"/>
              </w:rPr>
              <w:t xml:space="preserve">投标文件中提供投标人为卖方（乙方），合同签订日期在2022年</w:t>
            </w:r>
            <w:r>
              <w:rPr>
                <w:rFonts w:hint="eastAsia" w:hAnsi="仿宋" w:cs="仿宋_GB2312"/>
                <w:bCs/>
                <w:sz w:val="22"/>
                <w:szCs w:val="28"/>
                <w:lang w:val="en-US" w:eastAsia="zh-CN" w:bidi="ar-SA"/>
              </w:rPr>
              <w:t xml:space="preserve">11</w:t>
            </w:r>
            <w:r>
              <w:rPr>
                <w:rFonts w:hint="eastAsia" w:ascii="Times New Roman" w:hAnsi="仿宋" w:eastAsia="宋体" w:cs="仿宋_GB2312"/>
                <w:bCs/>
                <w:sz w:val="22"/>
                <w:szCs w:val="28"/>
                <w:lang w:val="en-US" w:eastAsia="zh-CN" w:bidi="ar-SA"/>
              </w:rPr>
              <w:t xml:space="preserve">月01日以后，合同内容为本次项目相同或类似的业绩，每份得2分；本项最高得4分。</w:t>
            </w:r>
            <w:r/>
          </w:p>
          <w:p>
            <w:pPr>
              <w:jc w:val="both"/>
              <w:spacing w:after="120"/>
              <w:widowControl w:val="off"/>
              <w:rPr>
                <w:rFonts w:hint="eastAsia" w:ascii="Times New Roman" w:hAnsi="仿宋" w:eastAsia="宋体" w:cs="仿宋_GB2312"/>
                <w:bCs/>
                <w:sz w:val="22"/>
                <w:szCs w:val="28"/>
                <w:lang w:val="en-US" w:eastAsia="zh-CN" w:bidi="ar-SA"/>
              </w:rPr>
            </w:pPr>
            <w:r>
              <w:rPr>
                <w:rFonts w:hint="eastAsia" w:ascii="Times New Roman" w:hAnsi="仿宋" w:eastAsia="宋体" w:cs="仿宋_GB2312"/>
                <w:bCs/>
                <w:sz w:val="22"/>
                <w:szCs w:val="28"/>
                <w:lang w:val="en-US" w:eastAsia="zh-CN" w:bidi="ar-SA"/>
              </w:rPr>
              <w:t xml:space="preserve">相同或类似货物业绩是指垃圾分类房、垃圾分类设施等</w:t>
            </w:r>
            <w:r/>
          </w:p>
          <w:p>
            <w:pPr>
              <w:jc w:val="both"/>
              <w:spacing w:after="120"/>
              <w:widowControl w:val="off"/>
              <w:rPr>
                <w:rFonts w:ascii="Times New Roman" w:hAnsi="Times New Roman" w:eastAsia="宋体" w:cs="Times New Roman"/>
                <w:sz w:val="22"/>
                <w:szCs w:val="28"/>
                <w:lang w:val="en-US" w:eastAsia="zh-CN" w:bidi="ar-SA"/>
              </w:rPr>
            </w:pPr>
            <w:r>
              <w:rPr>
                <w:rFonts w:hint="eastAsia" w:ascii="Times New Roman" w:hAnsi="仿宋" w:eastAsia="宋体" w:cs="仿宋_GB2312"/>
                <w:bCs/>
                <w:sz w:val="22"/>
                <w:szCs w:val="28"/>
                <w:lang w:val="en-US" w:eastAsia="zh-CN" w:bidi="ar-SA"/>
              </w:rPr>
              <w:t xml:space="preserve">投标文件中须提供合同原件扫描件及发票扫描件，不提供的不得分。</w:t>
            </w:r>
            <w:r/>
          </w:p>
        </w:tc>
      </w:tr>
      <w:tr>
        <w:trPr>
          <w:jc w:val="center"/>
          <w:trHeight w:val="3102"/>
        </w:trPr>
        <w:tc>
          <w:tcPr>
            <w:tcW w:w="2024" w:type="dxa"/>
            <w:vAlign w:val="center"/>
            <w:vMerge w:val="restart"/>
            <w:textDirection w:val="lrTb"/>
            <w:noWrap w:val="false"/>
          </w:tcPr>
          <w:p>
            <w:pPr>
              <w:jc w:val="center"/>
              <w:rPr>
                <w:rFonts w:hint="eastAsia" w:ascii="宋体" w:hAnsi="宋体" w:eastAsia="宋体" w:cs="宋体"/>
                <w:sz w:val="22"/>
                <w:szCs w:val="28"/>
              </w:rPr>
            </w:pPr>
            <w:r>
              <w:rPr>
                <w:rFonts w:hint="eastAsia" w:ascii="宋体" w:hAnsi="宋体" w:eastAsia="宋体" w:cs="宋体"/>
                <w:sz w:val="22"/>
                <w:szCs w:val="28"/>
              </w:rPr>
              <w:t xml:space="preserve">技术部分（</w:t>
            </w:r>
            <w:r>
              <w:rPr>
                <w:rFonts w:hint="eastAsia" w:ascii="宋体" w:hAnsi="宋体" w:cs="宋体"/>
                <w:sz w:val="22"/>
                <w:szCs w:val="28"/>
                <w:lang w:val="en-US" w:eastAsia="zh-CN"/>
              </w:rPr>
              <w:t xml:space="preserve">66</w:t>
            </w:r>
            <w:r>
              <w:rPr>
                <w:rFonts w:hint="eastAsia" w:ascii="宋体" w:hAnsi="宋体" w:eastAsia="宋体" w:cs="宋体"/>
                <w:sz w:val="22"/>
                <w:szCs w:val="28"/>
              </w:rPr>
              <w:t xml:space="preserve">分）</w:t>
            </w:r>
            <w:r/>
          </w:p>
        </w:tc>
        <w:tc>
          <w:tcPr>
            <w:tcBorders>
              <w:bottom w:val="single" w:color="auto" w:sz="4" w:space="0"/>
            </w:tcBorders>
            <w:tcW w:w="1480" w:type="dxa"/>
            <w:vAlign w:val="center"/>
            <w:textDirection w:val="lrTb"/>
            <w:noWrap w:val="false"/>
          </w:tcPr>
          <w:p>
            <w:pPr>
              <w:jc w:val="center"/>
              <w:rPr>
                <w:rFonts w:hint="default" w:ascii="宋体" w:hAnsi="宋体" w:eastAsia="宋体" w:cs="宋体"/>
                <w:sz w:val="22"/>
                <w:szCs w:val="28"/>
                <w:lang w:val="en-US" w:eastAsia="zh-CN"/>
              </w:rPr>
            </w:pPr>
            <w:r>
              <w:rPr>
                <w:rFonts w:hint="eastAsia" w:ascii="宋体" w:hAnsi="宋体" w:eastAsia="宋体" w:cs="宋体"/>
                <w:sz w:val="22"/>
                <w:szCs w:val="28"/>
              </w:rPr>
              <w:t xml:space="preserve">项目管理制度、生产制造人员责任分工、生产制作及供货时间进度计划</w:t>
            </w:r>
            <w:r>
              <w:rPr>
                <w:rFonts w:hint="eastAsia" w:ascii="宋体" w:hAnsi="宋体" w:eastAsia="宋体" w:cs="宋体"/>
                <w:sz w:val="22"/>
                <w:szCs w:val="28"/>
                <w:lang w:val="en-US" w:eastAsia="zh-CN"/>
              </w:rPr>
              <w:t xml:space="preserve">(15分)</w:t>
            </w:r>
            <w:r/>
          </w:p>
        </w:tc>
        <w:tc>
          <w:tcPr>
            <w:tcBorders>
              <w:bottom w:val="single" w:color="auto" w:sz="4" w:space="0"/>
            </w:tcBorders>
            <w:tcW w:w="6138" w:type="dxa"/>
            <w:vAlign w:val="center"/>
            <w:textDirection w:val="lrTb"/>
            <w:noWrap w:val="false"/>
          </w:tcPr>
          <w:p>
            <w:pPr>
              <w:rPr>
                <w:rFonts w:hint="eastAsia" w:ascii="宋体" w:hAnsi="宋体" w:eastAsia="宋体" w:cs="宋体"/>
                <w:sz w:val="22"/>
                <w:szCs w:val="28"/>
              </w:rPr>
            </w:pPr>
            <w:r>
              <w:rPr>
                <w:rFonts w:hint="eastAsia" w:ascii="宋体" w:hAnsi="宋体" w:eastAsia="宋体" w:cs="宋体"/>
                <w:sz w:val="22"/>
                <w:szCs w:val="28"/>
              </w:rPr>
              <w:t xml:space="preserve">1、对采购的居民小区生活垃圾分类房的项目管理制度、</w:t>
            </w:r>
            <w:r>
              <w:rPr>
                <w:rFonts w:hint="eastAsia" w:ascii="宋体" w:hAnsi="宋体" w:eastAsia="宋体" w:cs="宋体"/>
                <w:sz w:val="22"/>
                <w:szCs w:val="28"/>
                <w:lang w:eastAsia="zh-CN"/>
              </w:rPr>
              <w:t xml:space="preserve">生产制造</w:t>
            </w:r>
            <w:r>
              <w:rPr>
                <w:rFonts w:hint="eastAsia" w:ascii="宋体" w:hAnsi="宋体" w:eastAsia="宋体" w:cs="宋体"/>
                <w:sz w:val="22"/>
                <w:szCs w:val="28"/>
              </w:rPr>
              <w:t xml:space="preserve">人员责任分工、生产制作及供货时间进度计划等方案内容的完整性、合理性、针对性进行综合评价。</w:t>
            </w:r>
            <w:r/>
          </w:p>
          <w:p>
            <w:pPr>
              <w:rPr>
                <w:rFonts w:hint="eastAsia" w:ascii="宋体" w:hAnsi="宋体" w:eastAsia="宋体" w:cs="宋体"/>
                <w:sz w:val="22"/>
                <w:szCs w:val="28"/>
              </w:rPr>
            </w:pPr>
            <w:r>
              <w:rPr>
                <w:rFonts w:hint="eastAsia" w:ascii="宋体" w:hAnsi="宋体" w:eastAsia="宋体" w:cs="宋体"/>
                <w:sz w:val="22"/>
                <w:szCs w:val="28"/>
              </w:rPr>
              <w:t xml:space="preserve">1.完整性（</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分）：内容完整得</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分；内容较完整的得3分；内容基本完整的得1分；内容不完整得0分;</w:t>
            </w:r>
            <w:r/>
          </w:p>
          <w:p>
            <w:pPr>
              <w:rPr>
                <w:rFonts w:hint="eastAsia" w:ascii="宋体" w:hAnsi="宋体" w:eastAsia="宋体" w:cs="宋体"/>
                <w:sz w:val="22"/>
                <w:szCs w:val="28"/>
              </w:rPr>
            </w:pPr>
            <w:r>
              <w:rPr>
                <w:rFonts w:hint="eastAsia" w:ascii="宋体" w:hAnsi="宋体" w:eastAsia="宋体" w:cs="宋体"/>
                <w:sz w:val="22"/>
                <w:szCs w:val="28"/>
              </w:rPr>
              <w:t xml:space="preserve">2.合理性(</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分)：合理的得</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分；较合理的得3分；合理性一般的得1分；不合理的得0分；</w:t>
            </w:r>
            <w:r/>
          </w:p>
          <w:p>
            <w:pPr>
              <w:rPr>
                <w:rFonts w:hint="eastAsia" w:ascii="宋体" w:hAnsi="宋体" w:eastAsia="宋体" w:cs="宋体"/>
                <w:sz w:val="22"/>
                <w:szCs w:val="28"/>
              </w:rPr>
            </w:pPr>
            <w:r>
              <w:rPr>
                <w:rFonts w:hint="eastAsia" w:ascii="宋体" w:hAnsi="宋体" w:eastAsia="宋体" w:cs="宋体"/>
                <w:sz w:val="22"/>
                <w:szCs w:val="28"/>
              </w:rPr>
              <w:t xml:space="preserve">3.针对性(</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分)：针对性强得</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分；针对性较强得3分；针对性一般的得1分，无针对性得0分；</w:t>
            </w:r>
            <w:r/>
          </w:p>
          <w:p>
            <w:pPr>
              <w:rPr>
                <w:rFonts w:hint="eastAsia" w:ascii="宋体" w:hAnsi="宋体" w:eastAsia="宋体" w:cs="宋体"/>
                <w:sz w:val="22"/>
                <w:szCs w:val="28"/>
              </w:rPr>
            </w:pPr>
            <w:r>
              <w:rPr>
                <w:rFonts w:hint="eastAsia" w:ascii="宋体" w:hAnsi="宋体" w:eastAsia="宋体" w:cs="宋体"/>
                <w:sz w:val="22"/>
                <w:szCs w:val="28"/>
              </w:rPr>
              <w:t xml:space="preserve">本项最高得1</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分，最低得0分。</w:t>
            </w:r>
            <w:r/>
          </w:p>
        </w:tc>
      </w:tr>
      <w:tr>
        <w:trPr>
          <w:cantSplit/>
          <w:jc w:val="center"/>
          <w:trHeight w:val="1028"/>
        </w:trPr>
        <w:tc>
          <w:tcPr>
            <w:tcW w:w="2024" w:type="dxa"/>
            <w:vAlign w:val="center"/>
            <w:vMerge w:val="continue"/>
            <w:textDirection w:val="lrTb"/>
            <w:noWrap w:val="false"/>
          </w:tcPr>
          <w:p>
            <w:pPr>
              <w:jc w:val="center"/>
              <w:rPr>
                <w:rFonts w:hint="eastAsia" w:ascii="宋体" w:hAnsi="宋体" w:eastAsia="宋体" w:cs="宋体"/>
                <w:sz w:val="22"/>
                <w:szCs w:val="28"/>
              </w:rPr>
            </w:pPr>
            <w:r>
              <w:rPr>
                <w:rFonts w:hint="eastAsia" w:ascii="宋体" w:hAnsi="宋体" w:eastAsia="宋体" w:cs="宋体"/>
                <w:sz w:val="22"/>
                <w:szCs w:val="28"/>
              </w:rPr>
            </w:r>
            <w:r/>
          </w:p>
        </w:tc>
        <w:tc>
          <w:tcPr>
            <w:tcBorders>
              <w:top w:val="single" w:color="auto" w:sz="4" w:space="0"/>
            </w:tcBorders>
            <w:tcW w:w="1480" w:type="dxa"/>
            <w:vAlign w:val="center"/>
            <w:textDirection w:val="lrTb"/>
            <w:noWrap w:val="false"/>
          </w:tcPr>
          <w:p>
            <w:pPr>
              <w:jc w:val="center"/>
              <w:rPr>
                <w:rFonts w:hint="default" w:ascii="宋体" w:hAnsi="宋体" w:eastAsia="宋体" w:cs="宋体"/>
                <w:sz w:val="22"/>
                <w:szCs w:val="28"/>
                <w:lang w:val="en-US" w:eastAsia="zh-CN"/>
              </w:rPr>
            </w:pPr>
            <w:r>
              <w:rPr>
                <w:rFonts w:hint="eastAsia" w:ascii="宋体" w:hAnsi="宋体" w:eastAsia="宋体" w:cs="宋体"/>
                <w:sz w:val="22"/>
                <w:szCs w:val="28"/>
              </w:rPr>
              <w:t xml:space="preserve">生产安装关键技术、工艺及项目实施的重点、难点解决方案</w:t>
            </w:r>
            <w:r>
              <w:rPr>
                <w:rFonts w:hint="eastAsia" w:ascii="宋体" w:hAnsi="宋体" w:eastAsia="宋体" w:cs="宋体"/>
                <w:sz w:val="22"/>
                <w:szCs w:val="28"/>
                <w:lang w:val="en-US" w:eastAsia="zh-CN"/>
              </w:rPr>
              <w:t xml:space="preserve">(15分)</w:t>
            </w:r>
            <w:r/>
          </w:p>
        </w:tc>
        <w:tc>
          <w:tcPr>
            <w:tcBorders>
              <w:bottom w:val="single" w:color="auto" w:sz="4" w:space="0"/>
            </w:tcBorders>
            <w:tcW w:w="6138" w:type="dxa"/>
            <w:vAlign w:val="center"/>
            <w:textDirection w:val="lrTb"/>
            <w:noWrap w:val="false"/>
          </w:tcPr>
          <w:p>
            <w:pPr>
              <w:rPr>
                <w:rFonts w:hint="eastAsia" w:ascii="宋体" w:hAnsi="宋体" w:eastAsia="宋体" w:cs="宋体"/>
                <w:sz w:val="22"/>
                <w:szCs w:val="28"/>
              </w:rPr>
            </w:pPr>
            <w:r>
              <w:rPr>
                <w:rFonts w:hint="eastAsia" w:ascii="宋体" w:hAnsi="宋体" w:eastAsia="宋体" w:cs="宋体"/>
                <w:sz w:val="22"/>
                <w:szCs w:val="28"/>
              </w:rPr>
              <w:t xml:space="preserve">2、对居民小区生活垃圾分类房的生产安装关键技术、工艺及项目实施的重点、难点解决方案内容的完整性、合理性、针对性进行综合评价。</w:t>
            </w:r>
            <w:r/>
          </w:p>
          <w:p>
            <w:pPr>
              <w:rPr>
                <w:rFonts w:hint="eastAsia" w:ascii="宋体" w:hAnsi="宋体" w:eastAsia="宋体" w:cs="宋体"/>
                <w:sz w:val="22"/>
                <w:szCs w:val="28"/>
              </w:rPr>
            </w:pPr>
            <w:r>
              <w:rPr>
                <w:rFonts w:hint="eastAsia" w:ascii="宋体" w:hAnsi="宋体" w:eastAsia="宋体" w:cs="宋体"/>
                <w:sz w:val="22"/>
                <w:szCs w:val="28"/>
              </w:rPr>
              <w:t xml:space="preserve">1.完整性（</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分）：内容完整得</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分；内容较完整的得3分；内容基本完整的得1分；内容不完整得0分;</w:t>
            </w:r>
            <w:r/>
          </w:p>
          <w:p>
            <w:pPr>
              <w:rPr>
                <w:rFonts w:hint="eastAsia" w:ascii="宋体" w:hAnsi="宋体" w:eastAsia="宋体" w:cs="宋体"/>
                <w:sz w:val="22"/>
                <w:szCs w:val="28"/>
              </w:rPr>
            </w:pPr>
            <w:r>
              <w:rPr>
                <w:rFonts w:hint="eastAsia" w:ascii="宋体" w:hAnsi="宋体" w:eastAsia="宋体" w:cs="宋体"/>
                <w:sz w:val="22"/>
                <w:szCs w:val="28"/>
              </w:rPr>
              <w:t xml:space="preserve">2.合理性(</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分)：合理的得</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分；较合理的得</w:t>
            </w:r>
            <w:r>
              <w:rPr>
                <w:rFonts w:hint="eastAsia" w:ascii="宋体" w:hAnsi="宋体" w:eastAsia="宋体" w:cs="宋体"/>
                <w:sz w:val="22"/>
                <w:szCs w:val="28"/>
                <w:lang w:val="en-US" w:eastAsia="zh-CN"/>
              </w:rPr>
              <w:t xml:space="preserve">3</w:t>
            </w:r>
            <w:r>
              <w:rPr>
                <w:rFonts w:hint="eastAsia" w:ascii="宋体" w:hAnsi="宋体" w:eastAsia="宋体" w:cs="宋体"/>
                <w:sz w:val="22"/>
                <w:szCs w:val="28"/>
              </w:rPr>
              <w:t xml:space="preserve">分；合理性一般的得1分；不合理的得0分；</w:t>
            </w:r>
            <w:r/>
          </w:p>
          <w:p>
            <w:pPr>
              <w:rPr>
                <w:rFonts w:hint="eastAsia" w:ascii="宋体" w:hAnsi="宋体" w:eastAsia="宋体" w:cs="宋体"/>
                <w:sz w:val="22"/>
                <w:szCs w:val="28"/>
              </w:rPr>
            </w:pPr>
            <w:r>
              <w:rPr>
                <w:rFonts w:hint="eastAsia" w:ascii="宋体" w:hAnsi="宋体" w:eastAsia="宋体" w:cs="宋体"/>
                <w:sz w:val="22"/>
                <w:szCs w:val="28"/>
              </w:rPr>
              <w:t xml:space="preserve">3.针对性(</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分)：针对性强得</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分；针对性较强得3分；针对性一般的得1分，无针对性得0分；</w:t>
            </w:r>
            <w:r/>
          </w:p>
          <w:p>
            <w:pPr>
              <w:rPr>
                <w:rFonts w:hint="eastAsia" w:ascii="宋体" w:hAnsi="宋体" w:eastAsia="宋体" w:cs="宋体"/>
                <w:sz w:val="22"/>
                <w:szCs w:val="28"/>
              </w:rPr>
            </w:pPr>
            <w:r>
              <w:rPr>
                <w:rFonts w:hint="eastAsia" w:ascii="宋体" w:hAnsi="宋体" w:eastAsia="宋体" w:cs="宋体"/>
                <w:sz w:val="22"/>
                <w:szCs w:val="28"/>
              </w:rPr>
              <w:t xml:space="preserve">本项最高得1</w:t>
            </w:r>
            <w:r>
              <w:rPr>
                <w:rFonts w:hint="eastAsia" w:ascii="宋体" w:hAnsi="宋体" w:eastAsia="宋体" w:cs="宋体"/>
                <w:sz w:val="22"/>
                <w:szCs w:val="28"/>
                <w:lang w:val="en-US" w:eastAsia="zh-CN"/>
              </w:rPr>
              <w:t xml:space="preserve">5</w:t>
            </w:r>
            <w:r>
              <w:rPr>
                <w:rFonts w:hint="eastAsia" w:ascii="宋体" w:hAnsi="宋体" w:eastAsia="宋体" w:cs="宋体"/>
                <w:sz w:val="22"/>
                <w:szCs w:val="28"/>
              </w:rPr>
              <w:t xml:space="preserve">分，最低得0分。</w:t>
            </w:r>
            <w:r/>
          </w:p>
        </w:tc>
      </w:tr>
      <w:tr>
        <w:trPr>
          <w:cantSplit/>
          <w:jc w:val="center"/>
          <w:trHeight w:val="1644"/>
        </w:trPr>
        <w:tc>
          <w:tcPr>
            <w:tcW w:w="2024" w:type="dxa"/>
            <w:vMerge w:val="continue"/>
            <w:textDirection w:val="lrTb"/>
            <w:noWrap w:val="false"/>
          </w:tcPr>
          <w:p>
            <w:pPr>
              <w:rPr>
                <w:rFonts w:hint="eastAsia" w:ascii="宋体" w:hAnsi="宋体" w:eastAsia="宋体" w:cs="宋体"/>
                <w:sz w:val="22"/>
                <w:szCs w:val="28"/>
              </w:rPr>
            </w:pPr>
            <w:r>
              <w:rPr>
                <w:rFonts w:hint="eastAsia" w:ascii="宋体" w:hAnsi="宋体" w:eastAsia="宋体" w:cs="宋体"/>
                <w:sz w:val="22"/>
                <w:szCs w:val="28"/>
              </w:rPr>
            </w:r>
            <w:r/>
          </w:p>
        </w:tc>
        <w:tc>
          <w:tcPr>
            <w:tcBorders>
              <w:top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sz w:val="22"/>
                <w:szCs w:val="28"/>
              </w:rPr>
            </w:pPr>
            <w:r>
              <w:rPr>
                <w:rFonts w:hint="eastAsia" w:ascii="宋体" w:hAnsi="宋体" w:eastAsia="宋体" w:cs="宋体"/>
                <w:sz w:val="22"/>
                <w:szCs w:val="28"/>
              </w:rPr>
              <w:t xml:space="preserve">产品质量保证措施（</w:t>
            </w:r>
            <w:r>
              <w:rPr>
                <w:rFonts w:hint="eastAsia" w:ascii="宋体" w:hAnsi="宋体" w:cs="宋体"/>
                <w:sz w:val="22"/>
                <w:szCs w:val="28"/>
                <w:lang w:val="en-US" w:eastAsia="zh-CN"/>
              </w:rPr>
              <w:t xml:space="preserve">12</w:t>
            </w:r>
            <w:r>
              <w:rPr>
                <w:rFonts w:hint="eastAsia" w:ascii="宋体" w:hAnsi="宋体" w:eastAsia="宋体" w:cs="宋体"/>
                <w:sz w:val="22"/>
                <w:szCs w:val="28"/>
              </w:rPr>
              <w:t xml:space="preserve">分）</w:t>
            </w:r>
            <w:r/>
          </w:p>
        </w:tc>
        <w:tc>
          <w:tcPr>
            <w:tcBorders>
              <w:top w:val="single" w:color="auto" w:sz="4" w:space="0"/>
              <w:left w:val="single" w:color="auto" w:sz="4" w:space="0"/>
              <w:bottom w:val="single" w:color="auto" w:sz="4" w:space="0"/>
            </w:tcBorders>
            <w:tcW w:w="6138"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2"/>
                <w:szCs w:val="28"/>
              </w:rPr>
            </w:pPr>
            <w:r>
              <w:rPr>
                <w:rFonts w:hint="eastAsia" w:ascii="Times New Roman" w:hAnsi="Times New Roman" w:eastAsia="宋体" w:cs="Times New Roman"/>
                <w:sz w:val="22"/>
                <w:szCs w:val="28"/>
              </w:rPr>
              <w:t xml:space="preserve">根据供应商提供的质量保证措施进行打分，包括但不限于对本项目的质量目标、服务质量保障方案、质量保障措施进行综合评分：</w:t>
            </w:r>
            <w:r/>
          </w:p>
          <w:p>
            <w:pPr>
              <w:rPr>
                <w:rFonts w:hint="eastAsia" w:ascii="宋体" w:hAnsi="宋体" w:eastAsia="宋体" w:cs="宋体"/>
                <w:sz w:val="22"/>
                <w:szCs w:val="28"/>
              </w:rPr>
            </w:pPr>
            <w:r>
              <w:rPr>
                <w:rFonts w:hint="eastAsia" w:ascii="宋体" w:hAnsi="宋体" w:eastAsia="宋体" w:cs="宋体"/>
                <w:sz w:val="22"/>
                <w:szCs w:val="28"/>
              </w:rPr>
              <w:t xml:space="preserve">1.完整性（</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分）：内容完整得</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分；内容较完整的得3分；内容基本完整的得1分；内容不完整得0分;</w:t>
            </w:r>
            <w:r/>
          </w:p>
          <w:p>
            <w:pPr>
              <w:rPr>
                <w:rFonts w:hint="eastAsia" w:ascii="宋体" w:hAnsi="宋体" w:eastAsia="宋体" w:cs="宋体"/>
                <w:sz w:val="22"/>
                <w:szCs w:val="28"/>
              </w:rPr>
            </w:pPr>
            <w:r>
              <w:rPr>
                <w:rFonts w:hint="eastAsia" w:ascii="宋体" w:hAnsi="宋体" w:eastAsia="宋体" w:cs="宋体"/>
                <w:sz w:val="22"/>
                <w:szCs w:val="28"/>
              </w:rPr>
              <w:t xml:space="preserve">2.合理性(</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分)：合理的得</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分；较合理的得</w:t>
            </w:r>
            <w:r>
              <w:rPr>
                <w:rFonts w:hint="eastAsia" w:ascii="宋体" w:hAnsi="宋体" w:eastAsia="宋体" w:cs="宋体"/>
                <w:sz w:val="22"/>
                <w:szCs w:val="28"/>
                <w:lang w:val="en-US" w:eastAsia="zh-CN"/>
              </w:rPr>
              <w:t xml:space="preserve">3</w:t>
            </w:r>
            <w:r>
              <w:rPr>
                <w:rFonts w:hint="eastAsia" w:ascii="宋体" w:hAnsi="宋体" w:eastAsia="宋体" w:cs="宋体"/>
                <w:sz w:val="22"/>
                <w:szCs w:val="28"/>
              </w:rPr>
              <w:t xml:space="preserve">分；合理性一般的得1分；不合理的得0分；</w:t>
            </w:r>
            <w:r/>
          </w:p>
          <w:p>
            <w:pPr>
              <w:rPr>
                <w:rFonts w:hint="eastAsia" w:ascii="宋体" w:hAnsi="宋体" w:eastAsia="宋体" w:cs="宋体"/>
                <w:sz w:val="22"/>
                <w:szCs w:val="28"/>
              </w:rPr>
            </w:pPr>
            <w:r>
              <w:rPr>
                <w:rFonts w:hint="eastAsia" w:ascii="宋体" w:hAnsi="宋体" w:eastAsia="宋体" w:cs="宋体"/>
                <w:sz w:val="22"/>
                <w:szCs w:val="28"/>
              </w:rPr>
              <w:t xml:space="preserve">3.针对性(</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分)：针对性强得</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分；针对性较强得3分；针对性一般的得1分，无针对性得0分；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2"/>
                <w:szCs w:val="28"/>
              </w:rPr>
            </w:pPr>
            <w:r>
              <w:rPr>
                <w:rFonts w:hint="eastAsia" w:ascii="宋体" w:hAnsi="宋体" w:eastAsia="宋体" w:cs="宋体"/>
                <w:sz w:val="22"/>
                <w:szCs w:val="28"/>
              </w:rPr>
              <w:t xml:space="preserve">本项最高得1</w:t>
            </w:r>
            <w:r>
              <w:rPr>
                <w:rFonts w:hint="eastAsia" w:ascii="宋体" w:hAnsi="宋体" w:cs="宋体"/>
                <w:sz w:val="22"/>
                <w:szCs w:val="28"/>
                <w:lang w:val="en-US" w:eastAsia="zh-CN"/>
              </w:rPr>
              <w:t xml:space="preserve">2</w:t>
            </w:r>
            <w:r>
              <w:rPr>
                <w:rFonts w:hint="eastAsia" w:ascii="宋体" w:hAnsi="宋体" w:eastAsia="宋体" w:cs="宋体"/>
                <w:sz w:val="22"/>
                <w:szCs w:val="28"/>
              </w:rPr>
              <w:t xml:space="preserve">分，最低得0分。</w:t>
            </w:r>
            <w:r/>
          </w:p>
        </w:tc>
      </w:tr>
      <w:tr>
        <w:trPr>
          <w:cantSplit/>
          <w:jc w:val="center"/>
          <w:trHeight w:val="660"/>
        </w:trPr>
        <w:tc>
          <w:tcPr>
            <w:tcW w:w="2024" w:type="dxa"/>
            <w:vMerge w:val="continue"/>
            <w:textDirection w:val="lrTb"/>
            <w:noWrap w:val="false"/>
          </w:tcPr>
          <w:p>
            <w:pPr>
              <w:rPr>
                <w:rFonts w:hint="eastAsia" w:ascii="宋体" w:hAnsi="宋体" w:eastAsia="宋体" w:cs="宋体"/>
                <w:sz w:val="22"/>
                <w:szCs w:val="28"/>
              </w:rPr>
            </w:pPr>
            <w:r>
              <w:rPr>
                <w:rFonts w:hint="eastAsia" w:ascii="宋体" w:hAnsi="宋体" w:eastAsia="宋体" w:cs="宋体"/>
                <w:sz w:val="22"/>
                <w:szCs w:val="28"/>
              </w:rPr>
            </w:r>
            <w:r/>
          </w:p>
        </w:tc>
        <w:tc>
          <w:tcPr>
            <w:tcW w:w="1480" w:type="dxa"/>
            <w:vAlign w:val="center"/>
            <w:textDirection w:val="lrTb"/>
            <w:noWrap w:val="false"/>
          </w:tcPr>
          <w:p>
            <w:pPr>
              <w:jc w:val="center"/>
              <w:spacing w:line="360" w:lineRule="auto"/>
              <w:widowControl/>
              <w:rPr>
                <w:rFonts w:hint="eastAsia" w:ascii="宋体" w:hAnsi="宋体" w:eastAsia="宋体" w:cs="宋体"/>
                <w:spacing w:val="-7"/>
                <w:sz w:val="22"/>
                <w:szCs w:val="22"/>
                <w:lang w:val="zh-CN" w:bidi="zh-CN"/>
              </w:rPr>
            </w:pPr>
            <w:r>
              <w:rPr>
                <w:rFonts w:hint="eastAsia" w:ascii="宋体" w:hAnsi="宋体" w:eastAsia="宋体" w:cs="宋体"/>
                <w:spacing w:val="-7"/>
                <w:sz w:val="22"/>
                <w:szCs w:val="22"/>
                <w:lang w:val="zh-CN" w:bidi="zh-CN"/>
              </w:rPr>
              <w:t xml:space="preserve">售后服务和技术培训方案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8"/>
                <w:lang w:eastAsia="en-US"/>
              </w:rPr>
            </w:pPr>
            <w:r>
              <w:rPr>
                <w:rFonts w:hint="eastAsia" w:ascii="宋体" w:hAnsi="宋体" w:eastAsia="宋体" w:cs="宋体"/>
                <w:sz w:val="22"/>
                <w:szCs w:val="22"/>
                <w:lang w:bidi="zh-CN"/>
              </w:rPr>
              <w:t xml:space="preserve">（1</w:t>
            </w:r>
            <w:r>
              <w:rPr>
                <w:rFonts w:hint="eastAsia" w:ascii="宋体" w:hAnsi="宋体" w:eastAsia="宋体" w:cs="宋体"/>
                <w:sz w:val="22"/>
                <w:szCs w:val="22"/>
                <w:lang w:val="en-US" w:bidi="zh-CN"/>
              </w:rPr>
              <w:t xml:space="preserve">2</w:t>
            </w:r>
            <w:r>
              <w:rPr>
                <w:rFonts w:hint="eastAsia" w:ascii="宋体" w:hAnsi="宋体" w:eastAsia="宋体" w:cs="宋体"/>
                <w:sz w:val="22"/>
                <w:szCs w:val="22"/>
                <w:lang w:bidi="zh-CN"/>
              </w:rPr>
              <w:t xml:space="preserve">分）</w:t>
            </w:r>
            <w:r/>
          </w:p>
        </w:tc>
        <w:tc>
          <w:tcPr>
            <w:tcBorders>
              <w:top w:val="single" w:color="auto" w:sz="4" w:space="0"/>
              <w:bottom w:val="single" w:color="auto" w:sz="4" w:space="0"/>
            </w:tcBorders>
            <w:tcW w:w="6138" w:type="dxa"/>
            <w:vAlign w:val="center"/>
            <w:textDirection w:val="lrTb"/>
            <w:noWrap w:val="false"/>
          </w:tcPr>
          <w:p>
            <w:pPr>
              <w:ind w:firstLine="420"/>
              <w:jc w:val="left"/>
              <w:spacing w:after="100" w:line="259" w:lineRule="auto"/>
              <w:widowControl/>
              <w:rPr>
                <w:rFonts w:hint="eastAsia"/>
                <w:sz w:val="22"/>
                <w:szCs w:val="28"/>
                <w:lang w:val="zh-CN" w:eastAsia="zh-CN"/>
              </w:rPr>
            </w:pPr>
            <w:r>
              <w:rPr>
                <w:rFonts w:hint="eastAsia"/>
                <w:sz w:val="22"/>
                <w:szCs w:val="28"/>
                <w:lang w:val="zh-CN" w:eastAsia="zh-CN"/>
              </w:rPr>
              <w:t xml:space="preserve">依据响应文件中项目服务实施方案的全面性、及时性、服务计划、服务方案等进行综合评分：</w:t>
            </w:r>
            <w:r/>
          </w:p>
          <w:p>
            <w:pPr>
              <w:numPr>
                <w:ilvl w:val="0"/>
                <w:numId w:val="2"/>
              </w:numPr>
              <w:jc w:val="left"/>
              <w:spacing w:after="100" w:line="259" w:lineRule="auto"/>
              <w:widowControl/>
              <w:rPr>
                <w:rFonts w:hint="eastAsia"/>
                <w:sz w:val="22"/>
                <w:szCs w:val="28"/>
                <w:lang w:val="zh-CN" w:eastAsia="zh-CN"/>
              </w:rPr>
            </w:pPr>
            <w:r>
              <w:rPr>
                <w:rFonts w:hint="eastAsia"/>
                <w:sz w:val="22"/>
                <w:szCs w:val="28"/>
                <w:lang w:val="zh-CN" w:eastAsia="zh-CN"/>
              </w:rPr>
              <w:t xml:space="preserve">全面性（</w:t>
            </w:r>
            <w:r>
              <w:rPr>
                <w:rFonts w:hint="eastAsia"/>
                <w:sz w:val="22"/>
                <w:szCs w:val="28"/>
                <w:lang w:val="en-US" w:eastAsia="zh-CN"/>
              </w:rPr>
              <w:t xml:space="preserve">4</w:t>
            </w:r>
            <w:r>
              <w:rPr>
                <w:rFonts w:hint="eastAsia"/>
                <w:sz w:val="22"/>
                <w:szCs w:val="28"/>
                <w:lang w:val="zh-CN" w:eastAsia="zh-CN"/>
              </w:rPr>
              <w:t xml:space="preserve">分）：全面具体详实、合理、详细、具体、可操作性强的得</w:t>
            </w:r>
            <w:r>
              <w:rPr>
                <w:rFonts w:hint="eastAsia"/>
                <w:sz w:val="22"/>
                <w:szCs w:val="28"/>
                <w:lang w:val="en-US" w:eastAsia="zh-CN"/>
              </w:rPr>
              <w:t xml:space="preserve">4</w:t>
            </w:r>
            <w:r>
              <w:rPr>
                <w:rFonts w:hint="eastAsia"/>
                <w:sz w:val="22"/>
                <w:szCs w:val="28"/>
                <w:lang w:val="zh-CN" w:eastAsia="zh-CN"/>
              </w:rPr>
              <w:t xml:space="preserve">分；较全面、可操作性较强的得</w:t>
            </w:r>
            <w:r>
              <w:rPr>
                <w:rFonts w:hint="eastAsia"/>
                <w:sz w:val="22"/>
                <w:szCs w:val="28"/>
                <w:lang w:val="en-US" w:eastAsia="zh-CN"/>
              </w:rPr>
              <w:t xml:space="preserve">3</w:t>
            </w:r>
            <w:r>
              <w:rPr>
                <w:rFonts w:hint="eastAsia"/>
                <w:sz w:val="22"/>
                <w:szCs w:val="28"/>
                <w:lang w:val="zh-CN" w:eastAsia="zh-CN"/>
              </w:rPr>
              <w:t xml:space="preserve">分；基本具备的得</w:t>
            </w:r>
            <w:r>
              <w:rPr>
                <w:rFonts w:hint="eastAsia"/>
                <w:sz w:val="22"/>
                <w:szCs w:val="28"/>
                <w:lang w:val="en-US" w:eastAsia="zh-CN"/>
              </w:rPr>
              <w:t xml:space="preserve">1</w:t>
            </w:r>
            <w:r>
              <w:rPr>
                <w:rFonts w:hint="eastAsia"/>
                <w:sz w:val="22"/>
                <w:szCs w:val="28"/>
                <w:lang w:val="zh-CN" w:eastAsia="zh-CN"/>
              </w:rPr>
              <w:t xml:space="preserve">分；不全面得</w:t>
            </w:r>
            <w:r>
              <w:rPr>
                <w:rFonts w:hint="eastAsia"/>
                <w:sz w:val="22"/>
                <w:szCs w:val="28"/>
                <w:lang w:val="en-US" w:eastAsia="zh-CN"/>
              </w:rPr>
              <w:t xml:space="preserve">0</w:t>
            </w:r>
            <w:r>
              <w:rPr>
                <w:rFonts w:hint="eastAsia"/>
                <w:sz w:val="22"/>
                <w:szCs w:val="28"/>
                <w:lang w:val="zh-CN" w:eastAsia="zh-CN"/>
              </w:rPr>
              <w:t xml:space="preserve">分。</w:t>
            </w:r>
            <w:r/>
          </w:p>
          <w:p>
            <w:pPr>
              <w:numPr>
                <w:ilvl w:val="0"/>
                <w:numId w:val="2"/>
              </w:numPr>
              <w:ind w:left="0" w:firstLine="0"/>
              <w:jc w:val="left"/>
              <w:spacing w:after="100" w:line="259" w:lineRule="auto"/>
              <w:widowControl/>
              <w:rPr>
                <w:rFonts w:hint="eastAsia"/>
                <w:sz w:val="22"/>
                <w:szCs w:val="28"/>
                <w:lang w:val="en-US" w:eastAsia="zh-CN"/>
              </w:rPr>
            </w:pPr>
            <w:r>
              <w:rPr>
                <w:rFonts w:hint="eastAsia"/>
                <w:sz w:val="22"/>
                <w:szCs w:val="28"/>
                <w:lang w:val="zh-CN" w:eastAsia="zh-CN"/>
              </w:rPr>
              <w:t xml:space="preserve">针对性（</w:t>
            </w:r>
            <w:r>
              <w:rPr>
                <w:rFonts w:hint="eastAsia"/>
                <w:sz w:val="22"/>
                <w:szCs w:val="28"/>
                <w:lang w:val="en-US" w:eastAsia="zh-CN"/>
              </w:rPr>
              <w:t xml:space="preserve">4</w:t>
            </w:r>
            <w:r>
              <w:rPr>
                <w:rFonts w:hint="eastAsia"/>
                <w:sz w:val="22"/>
                <w:szCs w:val="28"/>
                <w:lang w:val="zh-CN" w:eastAsia="zh-CN"/>
              </w:rPr>
              <w:t xml:space="preserve">分）：针对性强、合理、详细、具体、可操作性强的得</w:t>
            </w:r>
            <w:r>
              <w:rPr>
                <w:rFonts w:hint="eastAsia"/>
                <w:sz w:val="22"/>
                <w:szCs w:val="28"/>
                <w:lang w:val="en-US" w:eastAsia="zh-CN"/>
              </w:rPr>
              <w:t xml:space="preserve">4</w:t>
            </w:r>
            <w:r>
              <w:rPr>
                <w:rFonts w:hint="eastAsia"/>
                <w:sz w:val="22"/>
                <w:szCs w:val="28"/>
                <w:lang w:val="zh-CN" w:eastAsia="zh-CN"/>
              </w:rPr>
              <w:t xml:space="preserve">分；针对性较强、较合理，较详细、较具体、可操作性较强的得：</w:t>
            </w:r>
            <w:r>
              <w:rPr>
                <w:rFonts w:hint="eastAsia"/>
                <w:sz w:val="22"/>
                <w:szCs w:val="28"/>
                <w:lang w:val="en-US" w:eastAsia="zh-CN"/>
              </w:rPr>
              <w:t xml:space="preserve">3</w:t>
            </w:r>
            <w:r>
              <w:rPr>
                <w:rFonts w:hint="eastAsia"/>
                <w:sz w:val="22"/>
                <w:szCs w:val="28"/>
                <w:lang w:val="zh-CN" w:eastAsia="zh-CN"/>
              </w:rPr>
              <w:t xml:space="preserve">分；针对性一般的得</w:t>
            </w:r>
            <w:r>
              <w:rPr>
                <w:rFonts w:hint="eastAsia"/>
                <w:sz w:val="22"/>
                <w:szCs w:val="28"/>
                <w:lang w:val="en-US" w:eastAsia="zh-CN"/>
              </w:rPr>
              <w:t xml:space="preserve">1</w:t>
            </w:r>
            <w:r>
              <w:rPr>
                <w:rFonts w:hint="eastAsia"/>
                <w:sz w:val="22"/>
                <w:szCs w:val="28"/>
                <w:lang w:val="zh-CN" w:eastAsia="zh-CN"/>
              </w:rPr>
              <w:t xml:space="preserve">分；无针对性，不合理、不详细、不具体、无操作性的得</w:t>
            </w:r>
            <w:r>
              <w:rPr>
                <w:rFonts w:hint="eastAsia"/>
                <w:sz w:val="22"/>
                <w:szCs w:val="28"/>
                <w:lang w:val="en-US" w:eastAsia="zh-CN"/>
              </w:rPr>
              <w:t xml:space="preserve">0</w:t>
            </w:r>
            <w:r>
              <w:rPr>
                <w:rFonts w:hint="eastAsia"/>
                <w:sz w:val="22"/>
                <w:szCs w:val="28"/>
                <w:lang w:val="zh-CN" w:eastAsia="zh-CN"/>
              </w:rPr>
              <w:t xml:space="preserve">分。</w:t>
            </w:r>
            <w:r/>
          </w:p>
          <w:p>
            <w:pPr>
              <w:numPr>
                <w:ilvl w:val="0"/>
                <w:numId w:val="2"/>
              </w:numPr>
              <w:ind w:left="0" w:firstLine="0"/>
              <w:jc w:val="left"/>
              <w:keepLines w:val="0"/>
              <w:keepNext w:val="0"/>
              <w:pageBreakBefore w:val="0"/>
              <w:spacing w:after="0" w:line="312" w:lineRule="auto"/>
              <w:widowControl/>
              <w:rPr>
                <w:rFonts w:hint="eastAsia"/>
                <w:sz w:val="22"/>
                <w:szCs w:val="28"/>
                <w:lang w:val="zh-CN" w:eastAsia="zh-CN"/>
              </w:rPr>
            </w:pPr>
            <w:r>
              <w:rPr>
                <w:rFonts w:hint="eastAsia"/>
                <w:sz w:val="22"/>
                <w:szCs w:val="28"/>
                <w:lang w:val="zh-CN" w:eastAsia="zh-CN"/>
              </w:rPr>
              <w:t xml:space="preserve">可行性（</w:t>
            </w:r>
            <w:r>
              <w:rPr>
                <w:rFonts w:hint="eastAsia"/>
                <w:sz w:val="22"/>
                <w:szCs w:val="28"/>
                <w:lang w:val="en-US" w:eastAsia="zh-CN"/>
              </w:rPr>
              <w:t xml:space="preserve">4分</w:t>
            </w:r>
            <w:r>
              <w:rPr>
                <w:rFonts w:hint="eastAsia"/>
                <w:sz w:val="22"/>
                <w:szCs w:val="28"/>
                <w:lang w:val="zh-CN" w:eastAsia="zh-CN"/>
              </w:rPr>
              <w:t xml:space="preserve">）；符合实际切实可行得</w:t>
            </w:r>
            <w:r>
              <w:rPr>
                <w:rFonts w:hint="eastAsia"/>
                <w:sz w:val="22"/>
                <w:szCs w:val="28"/>
                <w:lang w:val="en-US" w:eastAsia="zh-CN"/>
              </w:rPr>
              <w:t xml:space="preserve">4</w:t>
            </w:r>
            <w:r>
              <w:rPr>
                <w:rFonts w:hint="eastAsia"/>
                <w:sz w:val="22"/>
                <w:szCs w:val="28"/>
                <w:lang w:val="zh-CN" w:eastAsia="zh-CN"/>
              </w:rPr>
              <w:t xml:space="preserve">分；较切实可行得</w:t>
            </w:r>
            <w:r>
              <w:rPr>
                <w:rFonts w:hint="eastAsia"/>
                <w:sz w:val="22"/>
                <w:szCs w:val="28"/>
                <w:lang w:val="en-US" w:eastAsia="zh-CN"/>
              </w:rPr>
              <w:t xml:space="preserve">3</w:t>
            </w:r>
            <w:r>
              <w:rPr>
                <w:rFonts w:hint="eastAsia"/>
                <w:sz w:val="22"/>
                <w:szCs w:val="28"/>
                <w:lang w:val="zh-CN" w:eastAsia="zh-CN"/>
              </w:rPr>
              <w:t xml:space="preserve">分；可行性欠缺得</w:t>
            </w:r>
            <w:r>
              <w:rPr>
                <w:rFonts w:hint="eastAsia"/>
                <w:sz w:val="22"/>
                <w:szCs w:val="28"/>
                <w:lang w:val="en-US" w:eastAsia="zh-CN"/>
              </w:rPr>
              <w:t xml:space="preserve">1</w:t>
            </w:r>
            <w:r>
              <w:rPr>
                <w:rFonts w:hint="eastAsia"/>
                <w:sz w:val="22"/>
                <w:szCs w:val="28"/>
                <w:lang w:val="zh-CN" w:eastAsia="zh-CN"/>
              </w:rPr>
              <w:t xml:space="preserve">分；无内容的得0分。</w:t>
            </w:r>
            <w:r/>
          </w:p>
          <w:p>
            <w:pPr>
              <w:pStyle w:val="833"/>
              <w:numPr>
                <w:ilvl w:val="0"/>
                <w:numId w:val="0"/>
              </w:numPr>
              <w:rPr>
                <w:rFonts w:hint="eastAsia"/>
                <w:sz w:val="22"/>
                <w:szCs w:val="28"/>
              </w:rPr>
            </w:pPr>
            <w:r>
              <w:rPr>
                <w:rFonts w:hint="eastAsia" w:ascii="宋体" w:hAnsi="宋体" w:eastAsia="宋体" w:cs="宋体"/>
                <w:sz w:val="22"/>
                <w:szCs w:val="28"/>
              </w:rPr>
              <w:t xml:space="preserve">本项最高得1</w:t>
            </w:r>
            <w:r>
              <w:rPr>
                <w:rFonts w:hint="eastAsia" w:ascii="宋体" w:hAnsi="宋体" w:cs="宋体"/>
                <w:sz w:val="22"/>
                <w:szCs w:val="28"/>
                <w:lang w:val="en-US" w:eastAsia="zh-CN"/>
              </w:rPr>
              <w:t xml:space="preserve">2</w:t>
            </w:r>
            <w:r>
              <w:rPr>
                <w:rFonts w:hint="eastAsia" w:ascii="宋体" w:hAnsi="宋体" w:eastAsia="宋体" w:cs="宋体"/>
                <w:sz w:val="22"/>
                <w:szCs w:val="28"/>
              </w:rPr>
              <w:t xml:space="preserve">分，最低得0分。</w:t>
            </w:r>
            <w:r/>
          </w:p>
        </w:tc>
      </w:tr>
      <w:tr>
        <w:trPr>
          <w:cantSplit/>
          <w:jc w:val="center"/>
          <w:trHeight w:val="1314"/>
        </w:trPr>
        <w:tc>
          <w:tcPr>
            <w:tcW w:w="2024" w:type="dxa"/>
            <w:vMerge w:val="continue"/>
            <w:textDirection w:val="lrTb"/>
            <w:noWrap w:val="false"/>
          </w:tcPr>
          <w:p>
            <w:pPr>
              <w:rPr>
                <w:rFonts w:hint="eastAsia" w:ascii="宋体" w:hAnsi="宋体" w:eastAsia="宋体" w:cs="宋体"/>
                <w:sz w:val="22"/>
                <w:szCs w:val="28"/>
              </w:rPr>
            </w:pPr>
            <w:r>
              <w:rPr>
                <w:rFonts w:hint="eastAsia" w:ascii="宋体" w:hAnsi="宋体" w:eastAsia="宋体" w:cs="宋体"/>
                <w:sz w:val="22"/>
                <w:szCs w:val="28"/>
              </w:rPr>
            </w:r>
            <w:r/>
          </w:p>
        </w:tc>
        <w:tc>
          <w:tcPr>
            <w:tcW w:w="148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8"/>
              </w:rPr>
            </w:pPr>
            <w:r>
              <w:rPr>
                <w:rFonts w:hint="eastAsia" w:ascii="宋体" w:hAnsi="宋体" w:eastAsia="宋体" w:cs="宋体"/>
                <w:sz w:val="22"/>
                <w:szCs w:val="28"/>
              </w:rPr>
              <w:t xml:space="preserve">文明、安全作业管理实施方案(</w:t>
            </w:r>
            <w:r>
              <w:rPr>
                <w:rFonts w:hint="eastAsia" w:ascii="宋体" w:hAnsi="宋体" w:cs="宋体"/>
                <w:sz w:val="22"/>
                <w:szCs w:val="28"/>
                <w:lang w:val="en-US" w:eastAsia="zh-CN"/>
              </w:rPr>
              <w:t xml:space="preserve">12</w:t>
            </w:r>
            <w:r>
              <w:rPr>
                <w:rFonts w:hint="eastAsia" w:ascii="宋体" w:hAnsi="宋体" w:eastAsia="宋体" w:cs="宋体"/>
                <w:sz w:val="22"/>
                <w:szCs w:val="28"/>
              </w:rPr>
              <w:t xml:space="preserve">分)</w:t>
            </w:r>
            <w:r/>
          </w:p>
        </w:tc>
        <w:tc>
          <w:tcPr>
            <w:tcBorders>
              <w:top w:val="single" w:color="auto" w:sz="4" w:space="0"/>
              <w:bottom w:val="single" w:color="auto" w:sz="4" w:space="0"/>
            </w:tcBorders>
            <w:tcW w:w="6138"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8"/>
              </w:rPr>
            </w:pPr>
            <w:r>
              <w:rPr>
                <w:rFonts w:hint="eastAsia" w:ascii="宋体" w:hAnsi="宋体" w:eastAsia="宋体" w:cs="宋体"/>
                <w:sz w:val="22"/>
                <w:szCs w:val="28"/>
              </w:rPr>
              <w:t xml:space="preserve">对投标文件中文明、安全作业管理实施方案完整性、合理性、针对性等进行打分；</w:t>
            </w:r>
            <w:r/>
          </w:p>
          <w:p>
            <w:pPr>
              <w:rPr>
                <w:rFonts w:hint="eastAsia" w:ascii="宋体" w:hAnsi="宋体" w:eastAsia="宋体" w:cs="宋体"/>
                <w:sz w:val="22"/>
                <w:szCs w:val="28"/>
              </w:rPr>
            </w:pPr>
            <w:r>
              <w:rPr>
                <w:rFonts w:hint="eastAsia" w:ascii="宋体" w:hAnsi="宋体" w:eastAsia="宋体" w:cs="宋体"/>
                <w:sz w:val="22"/>
                <w:szCs w:val="28"/>
              </w:rPr>
              <w:t xml:space="preserve">1.完整性（</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分）：内容完整得</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分；内容较完整的得</w:t>
            </w:r>
            <w:r>
              <w:rPr>
                <w:rFonts w:hint="eastAsia" w:ascii="宋体" w:hAnsi="宋体" w:cs="宋体"/>
                <w:sz w:val="22"/>
                <w:szCs w:val="28"/>
                <w:lang w:val="en-US" w:eastAsia="zh-CN"/>
              </w:rPr>
              <w:t xml:space="preserve">3</w:t>
            </w:r>
            <w:r>
              <w:rPr>
                <w:rFonts w:hint="eastAsia" w:ascii="宋体" w:hAnsi="宋体" w:eastAsia="宋体" w:cs="宋体"/>
                <w:sz w:val="22"/>
                <w:szCs w:val="28"/>
              </w:rPr>
              <w:t xml:space="preserve">分；内容基本完整的得1分；内容不完整得0分;</w:t>
            </w:r>
            <w:r/>
          </w:p>
          <w:p>
            <w:pPr>
              <w:rPr>
                <w:rFonts w:hint="eastAsia" w:ascii="宋体" w:hAnsi="宋体" w:eastAsia="宋体" w:cs="宋体"/>
                <w:sz w:val="22"/>
                <w:szCs w:val="28"/>
              </w:rPr>
            </w:pPr>
            <w:r>
              <w:rPr>
                <w:rFonts w:hint="eastAsia" w:ascii="宋体" w:hAnsi="宋体" w:eastAsia="宋体" w:cs="宋体"/>
                <w:sz w:val="22"/>
                <w:szCs w:val="28"/>
              </w:rPr>
              <w:t xml:space="preserve">2.合理性(</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分)：合理的得</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分；较合理的得</w:t>
            </w:r>
            <w:r>
              <w:rPr>
                <w:rFonts w:hint="eastAsia" w:ascii="宋体" w:hAnsi="宋体" w:cs="宋体"/>
                <w:sz w:val="22"/>
                <w:szCs w:val="28"/>
                <w:lang w:val="en-US" w:eastAsia="zh-CN"/>
              </w:rPr>
              <w:t xml:space="preserve">3</w:t>
            </w:r>
            <w:r>
              <w:rPr>
                <w:rFonts w:hint="eastAsia" w:ascii="宋体" w:hAnsi="宋体" w:eastAsia="宋体" w:cs="宋体"/>
                <w:sz w:val="22"/>
                <w:szCs w:val="28"/>
              </w:rPr>
              <w:t xml:space="preserve">分；合理性一般的得1分；不合理的得0分；</w:t>
            </w:r>
            <w:r/>
          </w:p>
          <w:p>
            <w:pPr>
              <w:rPr>
                <w:rFonts w:hint="eastAsia" w:ascii="宋体" w:hAnsi="宋体" w:eastAsia="宋体" w:cs="宋体"/>
                <w:sz w:val="22"/>
                <w:szCs w:val="28"/>
              </w:rPr>
            </w:pPr>
            <w:r>
              <w:rPr>
                <w:rFonts w:hint="eastAsia" w:ascii="宋体" w:hAnsi="宋体" w:eastAsia="宋体" w:cs="宋体"/>
                <w:sz w:val="22"/>
                <w:szCs w:val="28"/>
              </w:rPr>
              <w:t xml:space="preserve">3.针对性(</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分)：针对性强得</w:t>
            </w:r>
            <w:r>
              <w:rPr>
                <w:rFonts w:hint="eastAsia" w:ascii="宋体" w:hAnsi="宋体" w:cs="宋体"/>
                <w:sz w:val="22"/>
                <w:szCs w:val="28"/>
                <w:lang w:val="en-US" w:eastAsia="zh-CN"/>
              </w:rPr>
              <w:t xml:space="preserve">4</w:t>
            </w:r>
            <w:r>
              <w:rPr>
                <w:rFonts w:hint="eastAsia" w:ascii="宋体" w:hAnsi="宋体" w:eastAsia="宋体" w:cs="宋体"/>
                <w:sz w:val="22"/>
                <w:szCs w:val="28"/>
              </w:rPr>
              <w:t xml:space="preserve">分；针对性较强得</w:t>
            </w:r>
            <w:r>
              <w:rPr>
                <w:rFonts w:hint="eastAsia" w:ascii="宋体" w:hAnsi="宋体" w:cs="宋体"/>
                <w:sz w:val="22"/>
                <w:szCs w:val="28"/>
                <w:lang w:val="en-US" w:eastAsia="zh-CN"/>
              </w:rPr>
              <w:t xml:space="preserve">3</w:t>
            </w:r>
            <w:r>
              <w:rPr>
                <w:rFonts w:hint="eastAsia" w:ascii="宋体" w:hAnsi="宋体" w:eastAsia="宋体" w:cs="宋体"/>
                <w:sz w:val="22"/>
                <w:szCs w:val="28"/>
              </w:rPr>
              <w:t xml:space="preserve">分；针对性一般的得1分，无针对性得0分；</w:t>
            </w:r>
            <w:r/>
          </w:p>
          <w:p>
            <w:pPr>
              <w:jc w:val="left"/>
              <w:spacing w:after="100" w:line="259" w:lineRule="auto"/>
              <w:widowControl/>
              <w:rPr>
                <w:rFonts w:ascii="Calibri" w:hAnsi="Calibri" w:eastAsia="宋体" w:cs="Times New Roman"/>
                <w:sz w:val="24"/>
                <w:szCs w:val="24"/>
                <w:lang w:val="en-US" w:eastAsia="zh-CN" w:bidi="ar-SA"/>
              </w:rPr>
            </w:pPr>
            <w:r>
              <w:rPr>
                <w:rFonts w:hint="eastAsia" w:ascii="宋体" w:hAnsi="宋体" w:eastAsia="宋体" w:cs="宋体"/>
                <w:sz w:val="22"/>
                <w:szCs w:val="28"/>
              </w:rPr>
              <w:t xml:space="preserve">本项最高得</w:t>
            </w:r>
            <w:r>
              <w:rPr>
                <w:rFonts w:hint="eastAsia" w:ascii="宋体" w:hAnsi="宋体" w:cs="宋体"/>
                <w:sz w:val="22"/>
                <w:szCs w:val="28"/>
                <w:lang w:val="en-US" w:eastAsia="zh-CN"/>
              </w:rPr>
              <w:t xml:space="preserve">12</w:t>
            </w:r>
            <w:r>
              <w:rPr>
                <w:rFonts w:hint="eastAsia" w:ascii="宋体" w:hAnsi="宋体" w:eastAsia="宋体" w:cs="宋体"/>
                <w:sz w:val="22"/>
                <w:szCs w:val="28"/>
              </w:rPr>
              <w:t xml:space="preserve">分，最低得0分</w:t>
            </w:r>
            <w:r/>
          </w:p>
        </w:tc>
      </w:tr>
    </w:tbl>
    <w:p>
      <w:pPr>
        <w:pStyle w:val="902"/>
        <w:spacing w:line="360" w:lineRule="auto"/>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注：本项目采用综合评分法，评标结果精确到小数点后两位。</w:t>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jc w:val="center"/>
        <w:spacing w:line="360" w:lineRule="auto"/>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t xml:space="preserve">第五章  拟签订的合同文本</w:t>
      </w:r>
      <w:r/>
    </w:p>
    <w:p>
      <w:pPr>
        <w:jc w:val="center"/>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（以采购人与成交供应商最终签订版本为准）</w:t>
      </w:r>
      <w:r/>
    </w:p>
    <w:p>
      <w:pPr>
        <w:pStyle w:val="906"/>
        <w:rPr>
          <w:rFonts w:ascii="仿宋" w:hAnsi="仿宋" w:eastAsia="仿宋" w:cs="Arial"/>
          <w:color w:val="000000"/>
          <w:sz w:val="28"/>
          <w:szCs w:val="28"/>
        </w:rPr>
      </w:pPr>
      <w:r>
        <w:rPr>
          <w:rFonts w:hint="eastAsia" w:ascii="仿宋" w:hAnsi="仿宋" w:eastAsia="仿宋" w:cs="Arial"/>
          <w:color w:val="000000"/>
          <w:sz w:val="28"/>
          <w:szCs w:val="28"/>
        </w:rPr>
        <w:t xml:space="preserve">项目名称：</w:t>
      </w:r>
      <w:r/>
    </w:p>
    <w:p>
      <w:pPr>
        <w:pStyle w:val="906"/>
        <w:rPr>
          <w:rFonts w:ascii="仿宋" w:hAnsi="仿宋" w:eastAsia="仿宋" w:cs="Arial"/>
          <w:color w:val="000000"/>
          <w:sz w:val="28"/>
          <w:szCs w:val="28"/>
        </w:rPr>
      </w:pPr>
      <w:r>
        <w:rPr>
          <w:rFonts w:hint="eastAsia" w:ascii="仿宋" w:hAnsi="仿宋" w:eastAsia="仿宋" w:cs="Arial"/>
          <w:color w:val="000000"/>
          <w:sz w:val="28"/>
          <w:szCs w:val="28"/>
        </w:rPr>
        <w:t xml:space="preserve">项目编号：</w:t>
      </w:r>
      <w:r/>
    </w:p>
    <w:p>
      <w:pPr>
        <w:pStyle w:val="906"/>
        <w:jc w:val="center"/>
        <w:rPr>
          <w:color w:val="000000"/>
          <w:sz w:val="44"/>
          <w:szCs w:val="44"/>
        </w:rPr>
        <w:outlineLvl w:val="9"/>
      </w:pPr>
      <w:r>
        <w:rPr>
          <w:rFonts w:hint="eastAsia"/>
          <w:color w:val="000000"/>
          <w:sz w:val="44"/>
          <w:szCs w:val="44"/>
        </w:rPr>
        <w:t xml:space="preserve">政</w:t>
      </w:r>
      <w:r/>
    </w:p>
    <w:p>
      <w:pPr>
        <w:pStyle w:val="906"/>
        <w:jc w:val="center"/>
        <w:rPr>
          <w:color w:val="000000"/>
          <w:sz w:val="44"/>
          <w:szCs w:val="44"/>
        </w:rPr>
      </w:pPr>
      <w:r>
        <w:rPr>
          <w:rFonts w:hint="eastAsia"/>
          <w:color w:val="000000"/>
          <w:sz w:val="44"/>
          <w:szCs w:val="44"/>
        </w:rPr>
        <w:t xml:space="preserve">府</w:t>
      </w:r>
      <w:r/>
    </w:p>
    <w:p>
      <w:pPr>
        <w:pStyle w:val="906"/>
        <w:jc w:val="center"/>
        <w:rPr>
          <w:color w:val="000000"/>
          <w:sz w:val="44"/>
          <w:szCs w:val="44"/>
        </w:rPr>
      </w:pPr>
      <w:r>
        <w:rPr>
          <w:rFonts w:hint="eastAsia"/>
          <w:color w:val="000000"/>
          <w:sz w:val="44"/>
          <w:szCs w:val="44"/>
        </w:rPr>
        <w:t xml:space="preserve">采</w:t>
      </w:r>
      <w:r/>
    </w:p>
    <w:p>
      <w:pPr>
        <w:pStyle w:val="906"/>
        <w:jc w:val="center"/>
        <w:rPr>
          <w:color w:val="000000"/>
          <w:sz w:val="44"/>
          <w:szCs w:val="44"/>
        </w:rPr>
      </w:pPr>
      <w:r>
        <w:rPr>
          <w:rFonts w:hint="eastAsia"/>
          <w:color w:val="000000"/>
          <w:sz w:val="44"/>
          <w:szCs w:val="44"/>
        </w:rPr>
        <w:t xml:space="preserve">购</w:t>
      </w:r>
      <w:r/>
    </w:p>
    <w:p>
      <w:pPr>
        <w:pStyle w:val="906"/>
        <w:jc w:val="center"/>
        <w:rPr>
          <w:color w:val="000000"/>
          <w:sz w:val="44"/>
          <w:szCs w:val="44"/>
        </w:rPr>
      </w:pPr>
      <w:r>
        <w:rPr>
          <w:rFonts w:hint="eastAsia"/>
          <w:color w:val="000000"/>
          <w:sz w:val="44"/>
          <w:szCs w:val="44"/>
        </w:rPr>
        <w:t xml:space="preserve">合</w:t>
      </w:r>
      <w:r/>
    </w:p>
    <w:p>
      <w:pPr>
        <w:pStyle w:val="906"/>
        <w:jc w:val="center"/>
        <w:rPr>
          <w:color w:val="000000"/>
          <w:sz w:val="44"/>
          <w:szCs w:val="44"/>
          <w:highlight w:val="yellow"/>
        </w:rPr>
      </w:pPr>
      <w:r>
        <w:rPr>
          <w:rFonts w:hint="eastAsia"/>
          <w:color w:val="000000"/>
          <w:sz w:val="44"/>
          <w:szCs w:val="44"/>
        </w:rPr>
        <w:t xml:space="preserve">同</w:t>
      </w:r>
      <w:r/>
    </w:p>
    <w:p>
      <w:pPr>
        <w:pStyle w:val="906"/>
        <w:rPr>
          <w:rFonts w:ascii="仿宋" w:hAnsi="仿宋" w:eastAsia="仿宋" w:cs="Arial"/>
          <w:color w:val="000000"/>
          <w:sz w:val="28"/>
          <w:szCs w:val="28"/>
        </w:rPr>
      </w:pPr>
      <w:r>
        <w:rPr>
          <w:rFonts w:hint="eastAsia" w:ascii="仿宋" w:hAnsi="仿宋" w:eastAsia="仿宋" w:cs="Arial"/>
          <w:color w:val="000000"/>
          <w:sz w:val="28"/>
          <w:szCs w:val="28"/>
        </w:rPr>
        <w:t xml:space="preserve">采购人：</w:t>
      </w:r>
      <w:r/>
    </w:p>
    <w:p>
      <w:pPr>
        <w:pStyle w:val="906"/>
        <w:rPr>
          <w:rFonts w:ascii="仿宋" w:hAnsi="仿宋" w:eastAsia="仿宋" w:cs="Arial"/>
          <w:color w:val="000000"/>
          <w:sz w:val="28"/>
          <w:szCs w:val="28"/>
        </w:rPr>
      </w:pPr>
      <w:r>
        <w:rPr>
          <w:rFonts w:hint="eastAsia" w:ascii="仿宋" w:hAnsi="仿宋" w:eastAsia="仿宋" w:cs="Arial"/>
          <w:color w:val="000000"/>
          <w:sz w:val="28"/>
          <w:szCs w:val="28"/>
        </w:rPr>
        <w:t xml:space="preserve">成交供应商：</w:t>
      </w:r>
      <w:r/>
    </w:p>
    <w:p>
      <w:pPr>
        <w:pStyle w:val="906"/>
        <w:rPr>
          <w:rFonts w:ascii="仿宋" w:hAnsi="仿宋" w:eastAsia="仿宋" w:cs="Arial"/>
          <w:color w:val="000000"/>
          <w:sz w:val="28"/>
          <w:szCs w:val="28"/>
        </w:rPr>
      </w:pPr>
      <w:r>
        <w:rPr>
          <w:rFonts w:hint="eastAsia" w:ascii="仿宋" w:hAnsi="仿宋" w:eastAsia="仿宋" w:cs="Arial"/>
          <w:color w:val="000000"/>
          <w:sz w:val="28"/>
          <w:szCs w:val="28"/>
        </w:rPr>
        <w:t xml:space="preserve">合同签订日期：</w:t>
      </w:r>
      <w:r>
        <w:rPr>
          <w:rFonts w:hint="eastAsia" w:ascii="仿宋" w:hAnsi="仿宋" w:eastAsia="仿宋" w:cs="Arial"/>
          <w:color w:val="000000"/>
          <w:sz w:val="28"/>
          <w:szCs w:val="28"/>
          <w:lang w:val="en-US" w:eastAsia="zh-CN"/>
        </w:rPr>
        <w:t xml:space="preserve">   </w:t>
      </w:r>
      <w:r>
        <w:rPr>
          <w:rFonts w:hint="eastAsia" w:ascii="仿宋" w:hAnsi="仿宋" w:eastAsia="仿宋" w:cs="Arial"/>
          <w:color w:val="000000"/>
          <w:sz w:val="28"/>
          <w:szCs w:val="28"/>
        </w:rPr>
        <w:t xml:space="preserve">年</w:t>
      </w:r>
      <w:r>
        <w:rPr>
          <w:rFonts w:hint="eastAsia" w:ascii="仿宋" w:hAnsi="仿宋" w:eastAsia="仿宋" w:cs="Arial"/>
          <w:color w:val="000000"/>
          <w:sz w:val="28"/>
          <w:szCs w:val="28"/>
          <w:lang w:val="en-US" w:eastAsia="zh-CN"/>
        </w:rPr>
        <w:t xml:space="preserve">   </w:t>
      </w:r>
      <w:r>
        <w:rPr>
          <w:rFonts w:hint="eastAsia" w:ascii="仿宋" w:hAnsi="仿宋" w:eastAsia="仿宋" w:cs="Arial"/>
          <w:color w:val="000000"/>
          <w:sz w:val="28"/>
          <w:szCs w:val="28"/>
        </w:rPr>
        <w:t xml:space="preserve">月</w:t>
      </w:r>
      <w:r>
        <w:rPr>
          <w:rFonts w:hint="eastAsia" w:ascii="仿宋" w:hAnsi="仿宋" w:eastAsia="仿宋" w:cs="Arial"/>
          <w:color w:val="000000"/>
          <w:sz w:val="28"/>
          <w:szCs w:val="28"/>
          <w:lang w:val="en-US" w:eastAsia="zh-CN"/>
        </w:rPr>
        <w:t xml:space="preserve">   </w:t>
      </w:r>
      <w:r>
        <w:rPr>
          <w:rFonts w:hint="eastAsia" w:ascii="仿宋" w:hAnsi="仿宋" w:eastAsia="仿宋" w:cs="Arial"/>
          <w:color w:val="000000"/>
          <w:sz w:val="28"/>
          <w:szCs w:val="28"/>
        </w:rPr>
        <w:t xml:space="preserve">日</w:t>
      </w:r>
      <w:r/>
    </w:p>
    <w:p>
      <w:pPr>
        <w:pStyle w:val="906"/>
        <w:ind w:firstLine="600"/>
        <w:rPr>
          <w:rFonts w:hint="eastAsia" w:ascii="仿宋" w:hAnsi="仿宋" w:eastAsia="仿宋" w:cs="Arial"/>
          <w:color w:val="000000"/>
          <w:sz w:val="28"/>
          <w:szCs w:val="28"/>
        </w:rPr>
      </w:pPr>
      <w:r>
        <w:rPr>
          <w:rFonts w:hint="eastAsia" w:ascii="仿宋" w:hAnsi="仿宋" w:eastAsia="仿宋" w:cs="Arial"/>
          <w:color w:val="000000"/>
          <w:sz w:val="28"/>
          <w:szCs w:val="28"/>
        </w:rPr>
        <w:t xml:space="preserve">友情提醒：采购人与中标、成交供应商应当在中标、成交通知书发出之日起三十日内，按照采购文件确定的事项签订政府采购合同。</w:t>
      </w:r>
      <w:r/>
    </w:p>
    <w:p>
      <w:pPr>
        <w:pStyle w:val="906"/>
        <w:ind w:firstLine="600"/>
        <w:jc w:val="both"/>
        <w:rPr>
          <w:rFonts w:hint="eastAsia" w:ascii="仿宋" w:hAnsi="仿宋" w:eastAsia="仿宋" w:cs="Arial"/>
          <w:color w:val="000000"/>
          <w:sz w:val="28"/>
          <w:szCs w:val="28"/>
        </w:rPr>
      </w:pPr>
      <w:r>
        <w:rPr>
          <w:rFonts w:hint="eastAsia" w:ascii="仿宋" w:hAnsi="仿宋" w:eastAsia="仿宋" w:cs="Arial"/>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sz w:val="20"/>
          <w:szCs w:val="22"/>
        </w:rPr>
      </w:pPr>
      <w:r>
        <w:rPr>
          <w:rFonts w:hint="eastAsia"/>
          <w:sz w:val="20"/>
          <w:szCs w:val="22"/>
        </w:rPr>
      </w:r>
      <w:r/>
    </w:p>
    <w:p>
      <w:pPr>
        <w:ind w:firstLine="600"/>
        <w:jc w:val="left"/>
        <w:spacing w:line="520" w:lineRule="exact"/>
        <w:rPr>
          <w:rFonts w:hint="default" w:ascii="仿宋" w:hAnsi="仿宋" w:eastAsia="仿宋" w:cs="仿宋"/>
          <w:sz w:val="28"/>
          <w:szCs w:val="28"/>
          <w:lang w:eastAsia="zh-CN"/>
        </w:rPr>
      </w:pPr>
      <w:r>
        <w:rPr>
          <w:rFonts w:hint="eastAsia" w:ascii="仿宋" w:hAnsi="仿宋" w:eastAsia="仿宋" w:cs="仿宋"/>
          <w:sz w:val="28"/>
          <w:szCs w:val="28"/>
        </w:rPr>
        <w:t xml:space="preserve">甲方：</w:t>
      </w:r>
      <w:r>
        <w:rPr>
          <w:rFonts w:hint="eastAsia" w:ascii="仿宋" w:hAnsi="仿宋" w:eastAsia="仿宋" w:cs="仿宋"/>
          <w:sz w:val="28"/>
          <w:szCs w:val="28"/>
          <w:lang w:eastAsia="zh-CN"/>
        </w:rPr>
        <w:t xml:space="preserve">徐州市贾汪区城市管理局</w:t>
      </w:r>
      <w:r/>
    </w:p>
    <w:p>
      <w:pPr>
        <w:ind w:firstLine="60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w:t>
      </w:r>
      <w:r/>
    </w:p>
    <w:p>
      <w:pPr>
        <w:ind w:firstLine="602"/>
        <w:jc w:val="left"/>
        <w:spacing w:line="520" w:lineRule="exact"/>
        <w:rPr>
          <w:rFonts w:hint="eastAsia" w:ascii="仿宋" w:hAnsi="仿宋" w:eastAsia="仿宋" w:cs="仿宋"/>
          <w:b/>
          <w:sz w:val="28"/>
          <w:szCs w:val="28"/>
        </w:rPr>
      </w:pPr>
      <w:r>
        <w:rPr>
          <w:rFonts w:hint="eastAsia" w:ascii="仿宋" w:hAnsi="仿宋" w:eastAsia="仿宋" w:cs="仿宋"/>
          <w:b/>
          <w:sz w:val="28"/>
          <w:szCs w:val="28"/>
        </w:rPr>
      </w:r>
      <w:r/>
    </w:p>
    <w:p>
      <w:pPr>
        <w:ind w:firstLine="602"/>
        <w:jc w:val="left"/>
        <w:spacing w:line="520" w:lineRule="exact"/>
        <w:rPr>
          <w:rFonts w:hint="eastAsia" w:ascii="仿宋" w:hAnsi="仿宋" w:eastAsia="仿宋" w:cs="仿宋"/>
          <w:b/>
          <w:sz w:val="28"/>
          <w:szCs w:val="28"/>
        </w:rPr>
      </w:pPr>
      <w:r>
        <w:rPr>
          <w:rFonts w:hint="eastAsia" w:ascii="仿宋" w:hAnsi="仿宋" w:eastAsia="仿宋" w:cs="仿宋"/>
          <w:b/>
          <w:sz w:val="28"/>
          <w:szCs w:val="28"/>
        </w:rPr>
      </w:r>
      <w:r/>
    </w:p>
    <w:p>
      <w:pPr>
        <w:rPr>
          <w:rFonts w:hint="eastAsia"/>
          <w:color w:val="000000"/>
          <w:sz w:val="20"/>
          <w:szCs w:val="22"/>
        </w:rPr>
      </w:pPr>
      <w:r>
        <w:rPr>
          <w:rFonts w:hint="eastAsia"/>
          <w:color w:val="000000"/>
          <w:sz w:val="20"/>
          <w:szCs w:val="22"/>
        </w:rPr>
        <w:br w:type="page" w:clear="all"/>
      </w:r>
      <w:r/>
    </w:p>
    <w:p>
      <w:pPr>
        <w:ind w:firstLine="600"/>
        <w:jc w:val="cente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合同通用条款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第一条  定义</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除本合同上下文中另有规定外，下列各词语定义如下：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1.1“买方”见《合同专用条款》。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1.2“卖方”见《合同专用条款》。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1.3“工作现场”见《合同专用条款》。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1.4“合同标的”见合同附件4。</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1.5“技术资料”是指与合同标的的安装、试运行、验收、操作以及维修有关的技术指标、规格、图纸和文件。</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1.6“技术培训”是指在合同标的的安装、试运行、验收、操作、维修以及其他方面卖方给予买方的培训。</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1.7“安装”是指有关合同标的、备件和材料的安装工作。</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1.8“试运行”是指为验明合同标的的技术性能，在安装完毕后对合同标的进行的测试。</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1.10“合同货币”见《合同专用条款》。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1.11“合同价格”见合同附件4。</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1.12“合同生效日”见《合同协议书》（合同附件1）第5 条。</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1.13“日”是指日历天数。</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1.14“月”是指日历月数。</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第二条 合同范围</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2.1买方同意从卖方购买、卖方同意向买方出售和提供的合同标的以及相关售后服务、技术培训和技术资料。</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第三条 价格</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3.1 合同总价见《合同专用条款》。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3.2 合同总价是固定价格。</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第四条 支付</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4.1买方应按照《合同专用条款》的规定进行支付。如果卖方未能按照《合同专用条款》的要求提交支付文件，由此产生的所有责任和发生的所有费用，均由卖方承担。</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4.2卖方有义务根据合同的规定向买方支付违约金和/或赔偿金时，买方有权从任何一笔应付款或卖方的履约保证金中予以扣除。</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第五条 交货</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5.1交货期限、批次和交货条件见《合同专用条款》。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5.2交货地点见《合同专用条款》。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5.3在《合同专用条款》规定的期限内，卖方应将合同号、合同标的的名称、数量、金额、包装件数以及交货的时间以书面方式通知买方。</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5.4卖方应按下列规定交付合同标的：</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5.4.1卖方负责将合同标的送至《合同专用条款》规定的交货地点。</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5.4.2买方出具的收据日期是合同标的的实际交货日期。</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5.5如果卖方未能按照合同规定的交货期限交货，卖方应按《合同专用条款》的规定支付违约金或提供其他救济。</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第六条 包装与标记</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6.1除非合同中另有规定，合同标的应保持产品制造企业原包装完好。</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6.2在合同标的的每件包装中都应附有下列单据：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A. 装箱明细单；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B. 质量合格证；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C. 技术资料。</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第七条 技术资料</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7.1 技术资料交付的期限和方式见《合同专用条款》。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第八条 安装</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8.1 合同标的的安装期限见《合同专用条款》。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第九条 验收</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9.1合同标的的试运行、验收见《合同专用条款》。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9.2如果合同附件2 所规定的所有技术性能在验收中都已经达到，双方应在验收合格后5 日内签署验收书。</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9.3买方派出1-3名技术人员参加项目实施，卖方应积极配合甲方派出的1-3名技术人员监督管理。</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第十条 售后服务和技术培训</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10.1售后服务和技术培训见合同附件3。</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第十一条 索赔</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11.1如果合同标的在安装、试运行和验收中卖方未能履行其在本合同项下承担的义务，买方有权向卖方提出索赔并寻求《合同专用条款》中规定的救济方式，救济方式包括：</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A. 卖方替换不符合合同规定的合同标的。</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B. 按质量低劣的程度、买方受损害的程度及损失的数额对合同标的进行降价。</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C. 拒收合同标的。</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D. 赔偿由卖方违约引起的其他损失。</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第十二条 不可抗力</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第十三条 合同的终止</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A. 卖方在合同规定的交货期限后未能按《合同专用条款》中规定的最终期限交付合同标的和/或技术资料；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B. 合同标的未能达到合同附件2 规定的技术性能；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C. 卖方未能履行合同项下任何其它义务，并且在收到买方违约通知后未能按《合同专用条款》中规定的期限对其违约行为作出补救。</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13.2如果一方破产或发生资不抵债的情况,合同另一方有权在任何时候发出书面通知终止合同。此种情况下合同的终止不妨碍或影响行使任何可能的其它救济手段。</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13.3如果买方认定卖方在投标或执行合同中有腐败或欺诈行为,买方有权在任何时候发出书面通知终止合同。</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A.“腐败行为”系指在招标、采购和合同执行等过程中，为谋求利益、影响相关人员而提供、给予、接受或索取任何有价物的行为。</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B.“欺诈行为”系指为了影响招标、采购和合同执行等过程而隐瞒事实，从而给买方造成损害的行为，其中包括投标人之间的串通行为。</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13.4 在买方全部或部分终止合同的情况下，卖方应按《合同专用条款》的规定对买方给予补偿。</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第十四条 争议的解决</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14.1 因执行本合同所发生的或者与本合同有关的一切争议由合同双方通过友好协商解决，如果不能协商一致，按《合同专用条款》规定的方式解决。</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第十五条 适用法律</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15.1 本合同的执行和争议的解决适用中华人民共和国的法律并按中华人民共和国的法律进行解释。</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第十六条  权利保证</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16.1卖方应保证买方在使用合同标的时不受第三方提出侵犯其专利权、版权、商标权或其他权利的起诉。一旦出现侵权，卖方承担全部责任。</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第十七条  保密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17.2上述秘密，卖方只能用于本合同，而且只能由卖方相应的人员使用；没有必要接触的卖方人员，不得接触。</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17.3卖方应当采取适当有效的方式保护所获取的上述秘密。</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第十八条 合同生效及其他</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18.1 本合同在合同协议书（合同附件1）规定的条件全部满足后生效。</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18.3 合同双方各自承担与本合同有关的应负税费。</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18.4合同双方除非《合同专用条款》另有规定，所有合同文件及相关的修订和合同双方之间的书面联络，应使用中文书就并按中文解释。</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18.5对本合同的任何补充、增添或修改以书面方式进行。</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18.6没有另一方的事先书面同意，合同任何一方不得将合同项下的任何权利和义务转让给第三方。</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18.8合同条款中的标题和边注仅供参考使用，不应视为合同的一部分，也不影响本文的解释。</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18.9合同构成买方和卖方之间就合同主要内容方面的完整协议，并且取代合同签订前所有关于这方面的通讯、协商、协议(不论是书面的，还是口头的)。</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18.11合同双方之间的一切联络往来应以书面形式按《合同专用条款》中规定的通讯地址发往合同另一方。有关重要事项的传真应及时用挂号信或快件确认。</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jc w:val="center"/>
        <w:spacing w:line="520" w:lineRule="exact"/>
        <w:rPr>
          <w:rFonts w:hint="eastAsia" w:ascii="仿宋" w:hAnsi="仿宋" w:eastAsia="仿宋" w:cs="Times New Roman"/>
          <w:sz w:val="28"/>
          <w:szCs w:val="28"/>
        </w:rPr>
      </w:pPr>
      <w:r>
        <w:rPr>
          <w:rFonts w:ascii="仿宋" w:hAnsi="仿宋" w:eastAsia="仿宋" w:cs="Times New Roman"/>
          <w:sz w:val="28"/>
          <w:szCs w:val="28"/>
        </w:rPr>
        <w:br w:type="page" w:clear="all"/>
      </w:r>
      <w:r>
        <w:rPr>
          <w:rFonts w:hint="eastAsia" w:ascii="仿宋" w:hAnsi="仿宋" w:eastAsia="仿宋" w:cs="Times New Roman"/>
          <w:sz w:val="28"/>
          <w:szCs w:val="28"/>
        </w:rPr>
        <w:t xml:space="preserve">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第一条 定义</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 “买方”为</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1.2 “卖方”为</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1.3 “工作现场”为</w:t>
      </w:r>
      <w:r>
        <w:rPr>
          <w:rFonts w:hint="eastAsia" w:ascii="仿宋" w:hAnsi="仿宋" w:eastAsia="仿宋" w:cs="Times New Roman"/>
          <w:sz w:val="28"/>
          <w:szCs w:val="28"/>
          <w:u w:val="single"/>
        </w:rPr>
        <w:t xml:space="preserve">买方指定地点</w:t>
      </w:r>
      <w:r>
        <w:rPr>
          <w:rFonts w:hint="eastAsia" w:ascii="仿宋" w:hAnsi="仿宋" w:eastAsia="仿宋" w:cs="Times New Roman"/>
          <w:sz w:val="28"/>
          <w:szCs w:val="28"/>
        </w:rPr>
        <w:t xml:space="preserve">。</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1.10 “合同货币”即</w:t>
      </w:r>
      <w:r>
        <w:rPr>
          <w:rFonts w:hint="eastAsia" w:ascii="仿宋" w:hAnsi="仿宋" w:eastAsia="仿宋" w:cs="Times New Roman"/>
          <w:sz w:val="28"/>
          <w:szCs w:val="28"/>
          <w:u w:val="single"/>
        </w:rPr>
        <w:t xml:space="preserve">人民币</w:t>
      </w:r>
      <w:r>
        <w:rPr>
          <w:rFonts w:hint="eastAsia" w:ascii="仿宋" w:hAnsi="仿宋" w:eastAsia="仿宋" w:cs="Times New Roman"/>
          <w:sz w:val="28"/>
          <w:szCs w:val="28"/>
        </w:rPr>
        <w:t xml:space="preserve">。</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第二条 合同范围</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2.1买方同意从卖方购买、卖方同意向买方出售的合同标的是</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。详见</w:t>
      </w:r>
      <w:r>
        <w:rPr>
          <w:rFonts w:hint="eastAsia" w:ascii="仿宋" w:hAnsi="仿宋" w:eastAsia="仿宋" w:cs="Times New Roman"/>
          <w:sz w:val="28"/>
          <w:szCs w:val="28"/>
          <w:lang w:eastAsia="zh-CN"/>
        </w:rPr>
        <w:t xml:space="preserve">下表</w:t>
      </w:r>
      <w:r>
        <w:rPr>
          <w:rFonts w:hint="eastAsia" w:ascii="仿宋" w:hAnsi="仿宋" w:eastAsia="仿宋" w:cs="Times New Roman"/>
          <w:sz w:val="28"/>
          <w:szCs w:val="28"/>
        </w:rPr>
        <w:t xml:space="preserve">。</w:t>
      </w:r>
      <w:r/>
    </w:p>
    <w:tbl>
      <w:tblPr>
        <w:tblStyle w:val="832"/>
        <w:tblW w:w="96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1500"/>
        <w:gridCol w:w="2235"/>
        <w:gridCol w:w="1908"/>
        <w:gridCol w:w="1134"/>
        <w:gridCol w:w="1134"/>
      </w:tblGrid>
      <w:tr>
        <w:trPr>
          <w:jc w:val="center"/>
        </w:trPr>
        <w:tc>
          <w:tcPr>
            <w:tcW w:w="1695"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名称</w:t>
            </w:r>
            <w:r/>
          </w:p>
        </w:tc>
        <w:tc>
          <w:tcPr>
            <w:tcW w:w="1500"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品牌型号</w:t>
            </w:r>
            <w:r/>
          </w:p>
        </w:tc>
        <w:tc>
          <w:tcPr>
            <w:tcW w:w="2235"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参数</w:t>
            </w:r>
            <w:r/>
          </w:p>
        </w:tc>
        <w:tc>
          <w:tcPr>
            <w:tcW w:w="1908"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图片</w:t>
            </w:r>
            <w:r/>
          </w:p>
        </w:tc>
        <w:tc>
          <w:tcPr>
            <w:tcW w:w="1134"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rPr>
              <w:t xml:space="preserve">单</w:t>
            </w:r>
            <w:r>
              <w:rPr>
                <w:rFonts w:hint="eastAsia" w:ascii="仿宋" w:hAnsi="仿宋" w:eastAsia="仿宋" w:cs="仿宋"/>
                <w:color w:val="000000"/>
                <w:sz w:val="28"/>
                <w:szCs w:val="28"/>
                <w:highlight w:val="none"/>
                <w:lang w:eastAsia="zh-CN"/>
              </w:rPr>
              <w:t xml:space="preserve">位</w:t>
            </w:r>
            <w:r/>
          </w:p>
        </w:tc>
        <w:tc>
          <w:tcPr>
            <w:tcW w:w="1134"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单价(元)</w:t>
            </w:r>
            <w:r/>
          </w:p>
        </w:tc>
      </w:tr>
      <w:tr>
        <w:trPr>
          <w:jc w:val="center"/>
          <w:trHeight w:val="1339"/>
        </w:trPr>
        <w:tc>
          <w:tcPr>
            <w:tcW w:w="1695"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r>
            <w:r/>
          </w:p>
        </w:tc>
        <w:tc>
          <w:tcPr>
            <w:tcW w:w="1500"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r>
            <w:r/>
          </w:p>
        </w:tc>
        <w:tc>
          <w:tcPr>
            <w:tcW w:w="2235"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容量:</w:t>
            </w:r>
            <w:r>
              <w:rPr>
                <w:rFonts w:hint="eastAsia" w:ascii="仿宋" w:hAnsi="仿宋" w:eastAsia="仿宋" w:cs="仿宋"/>
                <w:color w:val="000000"/>
                <w:sz w:val="28"/>
                <w:szCs w:val="28"/>
                <w:highlight w:val="none"/>
              </w:rPr>
              <w:br w:type="textWrapping" w:clear="all"/>
            </w:r>
            <w:r>
              <w:rPr>
                <w:rFonts w:hint="eastAsia" w:ascii="仿宋" w:hAnsi="仿宋" w:eastAsia="仿宋" w:cs="仿宋"/>
                <w:color w:val="000000"/>
                <w:sz w:val="28"/>
                <w:szCs w:val="28"/>
                <w:highlight w:val="none"/>
              </w:rPr>
              <w:t xml:space="preserve">材质:</w:t>
            </w:r>
            <w:r/>
          </w:p>
          <w:p>
            <w:pPr>
              <w:ind w:left="0" w:right="0"/>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性能:</w:t>
            </w:r>
            <w:r/>
          </w:p>
          <w:p>
            <w:pPr>
              <w:ind w:left="0" w:right="0"/>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其它参数:</w:t>
            </w:r>
            <w:r/>
          </w:p>
        </w:tc>
        <w:tc>
          <w:tcPr>
            <w:tcW w:w="1908"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r>
            <w:r/>
          </w:p>
        </w:tc>
        <w:tc>
          <w:tcPr>
            <w:tcW w:w="1134"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r>
            <w:r/>
          </w:p>
        </w:tc>
        <w:tc>
          <w:tcPr>
            <w:tcW w:w="1134"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r>
            <w:r/>
          </w:p>
        </w:tc>
      </w:tr>
      <w:tr>
        <w:trPr>
          <w:jc w:val="center"/>
        </w:trPr>
        <w:tc>
          <w:tcPr>
            <w:tcW w:w="1695" w:type="dxa"/>
            <w:vAlign w:val="top"/>
            <w:textDirection w:val="lrTb"/>
            <w:noWrap w:val="false"/>
          </w:tcPr>
          <w:p>
            <w:pPr>
              <w:ind w:left="0" w:right="0"/>
              <w:jc w:val="left"/>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采购数量</w:t>
            </w:r>
            <w:r/>
          </w:p>
        </w:tc>
        <w:tc>
          <w:tcPr>
            <w:tcW w:w="1500" w:type="dxa"/>
            <w:vAlign w:val="top"/>
            <w:textDirection w:val="lrTb"/>
            <w:noWrap w:val="false"/>
          </w:tcPr>
          <w:p>
            <w:pPr>
              <w:ind w:left="0" w:right="0"/>
              <w:jc w:val="left"/>
              <w:keepLines w:val="0"/>
              <w:keepNext w:val="0"/>
              <w:pageBreakBefore w:val="0"/>
              <w:spacing w:before="0" w:beforeAutospacing="0" w:after="0" w:afterAutospacing="0" w:line="440" w:lineRule="exact"/>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     </w:t>
            </w:r>
            <w:r/>
          </w:p>
        </w:tc>
        <w:tc>
          <w:tcPr>
            <w:tcW w:w="2235" w:type="dxa"/>
            <w:vAlign w:val="top"/>
            <w:textDirection w:val="lrTb"/>
            <w:noWrap w:val="false"/>
          </w:tcPr>
          <w:p>
            <w:pPr>
              <w:ind w:left="0" w:right="0"/>
              <w:jc w:val="left"/>
              <w:keepLines w:val="0"/>
              <w:keepNext w:val="0"/>
              <w:pageBreakBefore w:val="0"/>
              <w:spacing w:before="0" w:beforeAutospacing="0" w:after="0" w:afterAutospacing="0" w:line="440" w:lineRule="exact"/>
              <w:tabs>
                <w:tab w:val="left" w:pos="765" w:leader="none"/>
              </w:tabs>
              <w:rPr>
                <w:rFonts w:hint="eastAsia" w:ascii="仿宋" w:hAnsi="仿宋" w:eastAsia="仿宋" w:cs="仿宋"/>
                <w:color w:val="000000"/>
                <w:sz w:val="28"/>
                <w:szCs w:val="28"/>
                <w:highlight w:val="none"/>
                <w:lang w:eastAsia="zh-CN"/>
              </w:rPr>
              <w:suppressLineNumbers w:val="0"/>
            </w:pPr>
            <w:r>
              <w:rPr>
                <w:rFonts w:hint="eastAsia" w:ascii="仿宋" w:hAnsi="仿宋" w:eastAsia="仿宋" w:cs="仿宋"/>
                <w:color w:val="000000"/>
                <w:sz w:val="28"/>
                <w:szCs w:val="28"/>
                <w:highlight w:val="none"/>
              </w:rPr>
              <w:t xml:space="preserve">合计总价</w:t>
            </w:r>
            <w:r>
              <w:rPr>
                <w:rFonts w:hint="eastAsia" w:ascii="仿宋" w:hAnsi="仿宋" w:eastAsia="仿宋" w:cs="仿宋"/>
                <w:color w:val="000000"/>
                <w:sz w:val="28"/>
                <w:szCs w:val="28"/>
                <w:highlight w:val="none"/>
                <w:lang w:eastAsia="zh-CN"/>
              </w:rPr>
              <w:t xml:space="preserve">：</w:t>
            </w:r>
            <w:r/>
          </w:p>
        </w:tc>
        <w:tc>
          <w:tcPr>
            <w:gridSpan w:val="2"/>
            <w:tcW w:w="3042" w:type="dxa"/>
            <w:vAlign w:val="top"/>
            <w:textDirection w:val="lrTb"/>
            <w:noWrap w:val="false"/>
          </w:tcPr>
          <w:p>
            <w:pPr>
              <w:ind w:left="0" w:right="0"/>
              <w:jc w:val="left"/>
              <w:keepLines w:val="0"/>
              <w:keepNext w:val="0"/>
              <w:pageBreakBefore w:val="0"/>
              <w:spacing w:before="0" w:beforeAutospacing="0" w:after="0" w:afterAutospacing="0" w:line="440" w:lineRule="exact"/>
              <w:tabs>
                <w:tab w:val="left" w:pos="765" w:leader="none"/>
              </w:tabs>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t xml:space="preserve">大写: </w:t>
            </w:r>
            <w:r/>
          </w:p>
        </w:tc>
        <w:tc>
          <w:tcPr>
            <w:tcW w:w="1134" w:type="dxa"/>
            <w:vAlign w:val="top"/>
            <w:textDirection w:val="lrTb"/>
            <w:noWrap w:val="false"/>
          </w:tcPr>
          <w:p>
            <w:pPr>
              <w:ind w:left="0" w:right="0"/>
              <w:jc w:val="left"/>
              <w:keepLines w:val="0"/>
              <w:keepNext w:val="0"/>
              <w:pageBreakBefore w:val="0"/>
              <w:spacing w:before="0" w:beforeAutospacing="0" w:after="0" w:afterAutospacing="0" w:line="440" w:lineRule="exact"/>
              <w:tabs>
                <w:tab w:val="left" w:pos="765" w:leader="none"/>
              </w:tabs>
              <w:rPr>
                <w:rFonts w:hint="eastAsia" w:ascii="仿宋" w:hAnsi="仿宋" w:eastAsia="仿宋" w:cs="仿宋"/>
                <w:color w:val="000000"/>
                <w:sz w:val="28"/>
                <w:szCs w:val="28"/>
                <w:highlight w:val="none"/>
              </w:rPr>
              <w:suppressLineNumbers w:val="0"/>
            </w:pPr>
            <w:r>
              <w:rPr>
                <w:rFonts w:hint="eastAsia" w:ascii="仿宋" w:hAnsi="仿宋" w:eastAsia="仿宋" w:cs="仿宋"/>
                <w:color w:val="000000"/>
                <w:sz w:val="28"/>
                <w:szCs w:val="28"/>
                <w:highlight w:val="none"/>
              </w:rPr>
            </w:r>
            <w:r/>
          </w:p>
        </w:tc>
      </w:tr>
    </w:tbl>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第三条 价格</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3.1</w:t>
      </w:r>
      <w:r>
        <w:rPr>
          <w:rFonts w:hint="eastAsia" w:ascii="仿宋" w:hAnsi="仿宋" w:eastAsia="仿宋" w:cs="Times New Roman"/>
          <w:sz w:val="28"/>
          <w:szCs w:val="28"/>
          <w:lang w:eastAsia="zh-CN"/>
        </w:rPr>
        <w:t xml:space="preserve">采购包：</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rPr>
        <w:t xml:space="preserve">合同总价为￥</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大写：人民币</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第四条 支付</w:t>
      </w:r>
      <w:r/>
    </w:p>
    <w:p>
      <w:pPr>
        <w:ind w:firstLine="600"/>
        <w:rPr>
          <w:rFonts w:ascii="仿宋" w:hAnsi="仿宋" w:eastAsia="仿宋" w:cs="仿宋"/>
          <w:sz w:val="28"/>
          <w:szCs w:val="28"/>
        </w:rPr>
      </w:pPr>
      <w:r>
        <w:rPr>
          <w:rFonts w:hint="eastAsia" w:ascii="仿宋" w:hAnsi="仿宋" w:eastAsia="仿宋" w:cs="仿宋"/>
          <w:sz w:val="28"/>
          <w:szCs w:val="28"/>
        </w:rPr>
        <w:t xml:space="preserve">本合同总金额为人民币大写金额</w:t>
      </w:r>
      <w:r>
        <w:rPr>
          <w:rFonts w:hint="eastAsia" w:ascii="仿宋" w:hAnsi="仿宋" w:eastAsia="仿宋" w:cs="仿宋"/>
          <w:sz w:val="28"/>
          <w:szCs w:val="28"/>
          <w:u w:val="single"/>
        </w:rPr>
        <w:t xml:space="preserve">        元（小写金额：         元）</w:t>
      </w:r>
      <w:r>
        <w:rPr>
          <w:rFonts w:hint="eastAsia" w:ascii="仿宋" w:hAnsi="仿宋" w:eastAsia="仿宋" w:cs="仿宋"/>
          <w:sz w:val="28"/>
          <w:szCs w:val="28"/>
        </w:rPr>
        <w:t xml:space="preserve">，经双方协商一致，选择以下第</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种付款方式：</w:t>
      </w:r>
      <w:r/>
    </w:p>
    <w:p>
      <w:pPr>
        <w:ind w:firstLine="608"/>
        <w:jc w:val="both"/>
        <w:widowControl w:val="off"/>
        <w:rPr>
          <w:rFonts w:hint="default" w:ascii="仿宋" w:hAnsi="仿宋" w:eastAsia="仿宋" w:cs="仿宋"/>
          <w:b/>
          <w:bCs/>
          <w:sz w:val="28"/>
          <w:szCs w:val="28"/>
          <w:lang w:val="en-US" w:eastAsia="zh-CN" w:bidi="ar-SA"/>
        </w:rPr>
      </w:pPr>
      <w:r>
        <w:rPr>
          <w:rFonts w:hint="eastAsia" w:ascii="仿宋" w:hAnsi="仿宋" w:eastAsia="仿宋" w:cs="仿宋"/>
          <w:b/>
          <w:bCs/>
          <w:sz w:val="28"/>
          <w:szCs w:val="28"/>
          <w:lang w:val="en-US" w:eastAsia="zh-CN" w:bidi="ar-SA"/>
        </w:rPr>
        <w:t xml:space="preserve">（一）付款方式一：提交预付款保函的</w:t>
      </w:r>
      <w:r/>
    </w:p>
    <w:p>
      <w:pPr>
        <w:ind w:firstLine="606"/>
        <w:jc w:val="both"/>
        <w:spacing w:line="480" w:lineRule="exact"/>
        <w:widowControl w:val="off"/>
        <w:rPr>
          <w:rFonts w:hint="default" w:ascii="仿宋" w:hAnsi="仿宋" w:eastAsia="仿宋" w:cs="仿宋"/>
          <w:bCs/>
          <w:sz w:val="28"/>
          <w:szCs w:val="28"/>
          <w:lang w:val="en-US" w:eastAsia="zh-CN" w:bidi="ar-SA"/>
        </w:rPr>
      </w:pPr>
      <w:r>
        <w:rPr>
          <w:rFonts w:hint="eastAsia" w:ascii="仿宋" w:hAnsi="仿宋" w:eastAsia="仿宋" w:cs="仿宋"/>
          <w:bCs/>
          <w:sz w:val="28"/>
          <w:szCs w:val="28"/>
          <w:lang w:val="en-US" w:eastAsia="zh-CN" w:bidi="ar-SA"/>
        </w:rPr>
        <w:t xml:space="preserve">合同价款的</w:t>
      </w:r>
      <w:r>
        <w:rPr>
          <w:rFonts w:hint="eastAsia" w:ascii="仿宋" w:hAnsi="仿宋" w:eastAsia="仿宋" w:cs="仿宋"/>
          <w:bCs/>
          <w:sz w:val="28"/>
          <w:szCs w:val="28"/>
          <w:u w:val="single"/>
          <w:lang w:val="en-US" w:eastAsia="zh-CN" w:bidi="ar-SA"/>
        </w:rPr>
        <w:t xml:space="preserve">百分之三十</w:t>
      </w:r>
      <w:r>
        <w:rPr>
          <w:rFonts w:hint="eastAsia" w:ascii="仿宋" w:hAnsi="仿宋" w:eastAsia="仿宋" w:cs="仿宋"/>
          <w:bCs/>
          <w:sz w:val="28"/>
          <w:szCs w:val="28"/>
          <w:lang w:val="en-US" w:eastAsia="zh-CN" w:bidi="ar-SA"/>
        </w:rPr>
        <w:t xml:space="preserve">(</w:t>
      </w:r>
      <w:r>
        <w:rPr>
          <w:rFonts w:hint="eastAsia" w:ascii="仿宋" w:hAnsi="仿宋" w:eastAsia="仿宋" w:cs="仿宋"/>
          <w:bCs/>
          <w:sz w:val="28"/>
          <w:szCs w:val="28"/>
          <w:u w:val="single"/>
          <w:lang w:val="en-US" w:eastAsia="zh-CN" w:bidi="ar-SA"/>
        </w:rPr>
        <w:t xml:space="preserve">30%</w:t>
      </w:r>
      <w:r>
        <w:rPr>
          <w:rFonts w:hint="eastAsia" w:ascii="仿宋" w:hAnsi="仿宋" w:eastAsia="仿宋" w:cs="仿宋"/>
          <w:bCs/>
          <w:sz w:val="28"/>
          <w:szCs w:val="28"/>
          <w:lang w:val="en-US" w:eastAsia="zh-CN" w:bidi="ar-SA"/>
        </w:rPr>
        <w:t xml:space="preserve">)即￥，大写：人民币元整，在双方签订合同后30天内</w:t>
      </w:r>
      <w:r>
        <w:rPr>
          <w:rFonts w:hint="eastAsia" w:ascii="仿宋" w:hAnsi="仿宋" w:eastAsia="仿宋" w:cs="仿宋"/>
          <w:sz w:val="28"/>
          <w:szCs w:val="28"/>
          <w:lang w:val="en-US" w:eastAsia="zh-CN" w:bidi="ar-SA"/>
        </w:rPr>
        <w:t xml:space="preserve">，乙方向甲方出具等额预付款保函后，办理政府采购资金结算手续</w:t>
      </w:r>
      <w:r>
        <w:rPr>
          <w:rFonts w:hint="eastAsia" w:ascii="仿宋" w:hAnsi="仿宋" w:eastAsia="仿宋" w:cs="仿宋"/>
          <w:bCs/>
          <w:sz w:val="28"/>
          <w:szCs w:val="28"/>
          <w:lang w:val="en-US" w:eastAsia="zh-CN" w:bidi="ar-SA"/>
        </w:rPr>
        <w:t xml:space="preserve">支付给乙方。</w:t>
      </w:r>
      <w:r/>
    </w:p>
    <w:p>
      <w:pPr>
        <w:ind w:firstLine="600"/>
        <w:spacing w:line="520" w:lineRule="exact"/>
        <w:rPr>
          <w:rFonts w:ascii="仿宋" w:hAnsi="仿宋" w:eastAsia="仿宋" w:cs="仿宋"/>
          <w:sz w:val="28"/>
          <w:szCs w:val="28"/>
        </w:rPr>
      </w:pPr>
      <w:r>
        <w:rPr>
          <w:rFonts w:hint="eastAsia" w:ascii="仿宋" w:hAnsi="仿宋" w:eastAsia="仿宋" w:cs="仿宋"/>
          <w:sz w:val="28"/>
          <w:szCs w:val="28"/>
        </w:rPr>
        <w:t xml:space="preserve">合同总价的</w:t>
      </w:r>
      <w:r>
        <w:rPr>
          <w:rFonts w:hint="eastAsia" w:ascii="仿宋" w:hAnsi="仿宋" w:eastAsia="仿宋" w:cs="仿宋"/>
          <w:sz w:val="28"/>
          <w:szCs w:val="28"/>
          <w:u w:val="single"/>
        </w:rPr>
        <w:t xml:space="preserve">百分之</w:t>
      </w:r>
      <w:r>
        <w:rPr>
          <w:rFonts w:hint="eastAsia" w:ascii="仿宋" w:hAnsi="仿宋" w:eastAsia="仿宋" w:cs="仿宋"/>
          <w:sz w:val="28"/>
          <w:szCs w:val="28"/>
          <w:u w:val="single"/>
          <w:lang w:eastAsia="zh-CN"/>
        </w:rPr>
        <w:t xml:space="preserve">七</w:t>
      </w:r>
      <w:r>
        <w:rPr>
          <w:rFonts w:hint="eastAsia" w:ascii="仿宋" w:hAnsi="仿宋" w:eastAsia="仿宋" w:cs="仿宋"/>
          <w:sz w:val="28"/>
          <w:szCs w:val="28"/>
          <w:u w:val="single"/>
        </w:rPr>
        <w:t xml:space="preserve">十</w:t>
      </w:r>
      <w:r>
        <w:rPr>
          <w:rFonts w:hint="eastAsia" w:ascii="仿宋" w:hAnsi="仿宋" w:eastAsia="仿宋" w:cs="仿宋"/>
          <w:sz w:val="28"/>
          <w:szCs w:val="28"/>
        </w:rPr>
        <w:t xml:space="preserve"> (</w:t>
      </w:r>
      <w:r>
        <w:rPr>
          <w:rFonts w:hint="eastAsia" w:ascii="仿宋" w:hAnsi="仿宋" w:eastAsia="仿宋" w:cs="仿宋"/>
          <w:sz w:val="28"/>
          <w:szCs w:val="28"/>
          <w:u w:val="single"/>
          <w:lang w:val="en-US" w:eastAsia="zh-CN"/>
        </w:rPr>
        <w:t xml:space="preserve">7</w:t>
      </w:r>
      <w:r>
        <w:rPr>
          <w:rFonts w:hint="eastAsia" w:ascii="仿宋" w:hAnsi="仿宋" w:eastAsia="仿宋" w:cs="仿宋"/>
          <w:sz w:val="28"/>
          <w:szCs w:val="28"/>
          <w:u w:val="single"/>
        </w:rPr>
        <w:t xml:space="preserve">0</w:t>
      </w:r>
      <w:r>
        <w:rPr>
          <w:rFonts w:hint="eastAsia" w:ascii="仿宋" w:hAnsi="仿宋" w:eastAsia="仿宋" w:cs="仿宋"/>
          <w:sz w:val="28"/>
          <w:szCs w:val="28"/>
        </w:rPr>
        <w:t xml:space="preserve">%)即￥</w:t>
      </w:r>
      <w:r>
        <w:rPr>
          <w:rFonts w:hint="eastAsia" w:ascii="仿宋" w:hAnsi="仿宋" w:eastAsia="仿宋" w:cs="仿宋"/>
          <w:bCs/>
          <w:sz w:val="28"/>
          <w:szCs w:val="28"/>
        </w:rPr>
        <w:t xml:space="preserve">，</w:t>
      </w:r>
      <w:r>
        <w:rPr>
          <w:rFonts w:hint="eastAsia" w:ascii="仿宋" w:hAnsi="仿宋" w:eastAsia="仿宋" w:cs="仿宋"/>
          <w:sz w:val="28"/>
          <w:szCs w:val="28"/>
        </w:rPr>
        <w:t xml:space="preserve">大写：人民币，合同标的全部交付并安装完毕验收</w:t>
      </w:r>
      <w:r>
        <w:rPr>
          <w:rFonts w:hint="eastAsia" w:ascii="仿宋" w:hAnsi="仿宋" w:eastAsia="仿宋" w:cs="仿宋"/>
          <w:bCs/>
          <w:sz w:val="28"/>
          <w:szCs w:val="28"/>
          <w:lang w:val="en-US" w:eastAsia="zh-CN"/>
        </w:rPr>
        <w:t xml:space="preserve">30</w:t>
      </w:r>
      <w:r>
        <w:rPr>
          <w:rFonts w:hint="eastAsia" w:ascii="仿宋" w:hAnsi="仿宋" w:eastAsia="仿宋" w:cs="仿宋"/>
          <w:bCs/>
          <w:sz w:val="28"/>
          <w:szCs w:val="28"/>
        </w:rPr>
        <w:t xml:space="preserve">天内</w:t>
      </w:r>
      <w:r>
        <w:rPr>
          <w:rFonts w:hint="eastAsia" w:ascii="仿宋" w:hAnsi="仿宋" w:eastAsia="仿宋" w:cs="仿宋"/>
          <w:sz w:val="28"/>
          <w:szCs w:val="28"/>
        </w:rPr>
        <w:t xml:space="preserve">，由买方办理政府采购资金结算手续，经审核后支付给卖方。</w:t>
      </w:r>
      <w:r/>
    </w:p>
    <w:p>
      <w:pPr>
        <w:ind w:firstLine="600"/>
        <w:spacing w:line="520" w:lineRule="exact"/>
        <w:rPr>
          <w:rFonts w:ascii="仿宋" w:hAnsi="仿宋" w:eastAsia="仿宋" w:cs="仿宋"/>
          <w:sz w:val="28"/>
          <w:szCs w:val="28"/>
        </w:rPr>
      </w:pPr>
      <w:r>
        <w:rPr>
          <w:rFonts w:hint="eastAsia" w:ascii="仿宋" w:hAnsi="仿宋" w:eastAsia="仿宋" w:cs="仿宋"/>
          <w:sz w:val="28"/>
          <w:szCs w:val="28"/>
        </w:rPr>
        <w:t xml:space="preserve">卖方需提交的支付文件包括：</w:t>
      </w:r>
      <w:r/>
    </w:p>
    <w:p>
      <w:pPr>
        <w:ind w:firstLine="600"/>
        <w:spacing w:line="520" w:lineRule="exact"/>
        <w:rPr>
          <w:rFonts w:ascii="仿宋" w:hAnsi="仿宋" w:eastAsia="仿宋" w:cs="仿宋"/>
          <w:bCs/>
          <w:sz w:val="28"/>
          <w:szCs w:val="28"/>
        </w:rPr>
      </w:pPr>
      <w:r>
        <w:rPr>
          <w:rFonts w:hint="eastAsia" w:ascii="仿宋" w:hAnsi="仿宋" w:eastAsia="仿宋" w:cs="仿宋"/>
          <w:sz w:val="28"/>
          <w:szCs w:val="28"/>
        </w:rPr>
        <w:t xml:space="preserve">卖方出具的全额正式发票；</w:t>
      </w:r>
      <w:r/>
    </w:p>
    <w:p>
      <w:pPr>
        <w:ind w:firstLine="605"/>
        <w:spacing w:line="480" w:lineRule="exact"/>
        <w:rPr>
          <w:rFonts w:ascii="仿宋" w:hAnsi="仿宋" w:eastAsia="仿宋" w:cs="仿宋"/>
          <w:b/>
          <w:sz w:val="28"/>
          <w:szCs w:val="28"/>
        </w:rPr>
      </w:pPr>
      <w:r>
        <w:rPr>
          <w:rFonts w:hint="eastAsia" w:ascii="仿宋" w:hAnsi="仿宋" w:eastAsia="仿宋" w:cs="仿宋"/>
          <w:b/>
          <w:bCs/>
          <w:sz w:val="28"/>
          <w:szCs w:val="28"/>
        </w:rPr>
        <w:t xml:space="preserve">（二）</w:t>
      </w:r>
      <w:r>
        <w:rPr>
          <w:rFonts w:hint="eastAsia" w:ascii="仿宋" w:hAnsi="仿宋" w:eastAsia="仿宋" w:cs="仿宋"/>
          <w:b/>
          <w:sz w:val="28"/>
          <w:szCs w:val="28"/>
        </w:rPr>
        <w:t xml:space="preserve">付款方式二：不提交预付款保函的</w:t>
      </w:r>
      <w:r/>
    </w:p>
    <w:p>
      <w:pPr>
        <w:ind w:firstLine="606"/>
        <w:jc w:val="both"/>
        <w:spacing w:line="480" w:lineRule="exact"/>
        <w:widowControl w:val="off"/>
        <w:rPr>
          <w:rFonts w:hint="default" w:ascii="仿宋" w:hAnsi="仿宋" w:eastAsia="仿宋" w:cs="仿宋"/>
          <w:bCs/>
          <w:sz w:val="28"/>
          <w:szCs w:val="28"/>
          <w:lang w:val="en-US" w:eastAsia="zh-CN" w:bidi="ar-SA"/>
        </w:rPr>
      </w:pPr>
      <w:r>
        <w:rPr>
          <w:rFonts w:hint="eastAsia" w:ascii="仿宋" w:hAnsi="仿宋" w:eastAsia="仿宋" w:cs="仿宋"/>
          <w:bCs/>
          <w:sz w:val="28"/>
          <w:szCs w:val="28"/>
          <w:lang w:val="en-US" w:eastAsia="zh-CN" w:bidi="ar-SA"/>
        </w:rPr>
        <w:t xml:space="preserve">30%合同标的对应价款即￥，</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大写：人民币</w:t>
      </w:r>
      <w:r>
        <w:rPr>
          <w:rFonts w:hint="eastAsia" w:ascii="仿宋" w:hAnsi="仿宋" w:eastAsia="仿宋" w:cs="仿宋"/>
          <w:bCs/>
          <w:sz w:val="28"/>
          <w:szCs w:val="28"/>
          <w:u w:val="single"/>
          <w:lang w:val="en-US" w:eastAsia="zh-CN" w:bidi="ar-SA"/>
        </w:rPr>
        <w:t xml:space="preserve">      </w:t>
      </w:r>
      <w:r>
        <w:rPr>
          <w:rFonts w:hint="eastAsia" w:ascii="仿宋" w:hAnsi="仿宋" w:eastAsia="仿宋" w:cs="仿宋"/>
          <w:bCs/>
          <w:sz w:val="28"/>
          <w:szCs w:val="28"/>
          <w:lang w:val="en-US" w:eastAsia="zh-CN" w:bidi="ar-SA"/>
        </w:rPr>
        <w:t xml:space="preserve">元整，在双方签订合同后30天内</w:t>
      </w:r>
      <w:r>
        <w:rPr>
          <w:rFonts w:hint="eastAsia" w:ascii="仿宋" w:hAnsi="仿宋" w:eastAsia="仿宋" w:cs="仿宋"/>
          <w:sz w:val="28"/>
          <w:szCs w:val="28"/>
          <w:lang w:val="en-US" w:eastAsia="zh-CN" w:bidi="ar-SA"/>
        </w:rPr>
        <w:t xml:space="preserve">，办理政府采购资金结算手续支付给乙方。</w:t>
      </w:r>
      <w:r/>
    </w:p>
    <w:p>
      <w:pPr>
        <w:ind w:firstLine="600"/>
        <w:spacing w:line="520" w:lineRule="exact"/>
        <w:rPr>
          <w:rFonts w:ascii="仿宋" w:hAnsi="仿宋" w:eastAsia="仿宋" w:cs="仿宋"/>
          <w:sz w:val="28"/>
          <w:szCs w:val="28"/>
        </w:rPr>
      </w:pPr>
      <w:r>
        <w:rPr>
          <w:rFonts w:hint="eastAsia" w:ascii="仿宋" w:hAnsi="仿宋" w:eastAsia="仿宋" w:cs="仿宋"/>
          <w:bCs/>
          <w:sz w:val="28"/>
          <w:szCs w:val="28"/>
          <w:lang w:val="en-US" w:eastAsia="zh-CN"/>
        </w:rPr>
        <w:t xml:space="preserve">70%</w:t>
      </w:r>
      <w:r>
        <w:rPr>
          <w:rFonts w:hint="eastAsia" w:ascii="仿宋" w:hAnsi="仿宋" w:eastAsia="仿宋" w:cs="仿宋"/>
          <w:bCs/>
          <w:sz w:val="28"/>
          <w:szCs w:val="28"/>
        </w:rPr>
        <w:t xml:space="preserve">合同</w:t>
      </w:r>
      <w:r>
        <w:rPr>
          <w:rFonts w:hint="eastAsia" w:ascii="仿宋" w:hAnsi="仿宋" w:eastAsia="仿宋" w:cs="仿宋"/>
          <w:bCs/>
          <w:sz w:val="28"/>
          <w:szCs w:val="28"/>
          <w:lang w:val="en-US" w:eastAsia="zh-CN"/>
        </w:rPr>
        <w:t xml:space="preserve">标的对应价款</w:t>
      </w:r>
      <w:r>
        <w:rPr>
          <w:rFonts w:hint="eastAsia" w:ascii="仿宋" w:hAnsi="仿宋" w:eastAsia="仿宋" w:cs="仿宋"/>
          <w:sz w:val="28"/>
          <w:szCs w:val="28"/>
        </w:rPr>
        <w:t xml:space="preserve">即</w:t>
      </w:r>
      <w:r>
        <w:rPr>
          <w:rFonts w:hint="eastAsia" w:ascii="仿宋" w:hAnsi="仿宋" w:eastAsia="仿宋" w:cs="仿宋"/>
          <w:bCs/>
          <w:sz w:val="28"/>
          <w:szCs w:val="28"/>
        </w:rPr>
        <w:t xml:space="preserve">￥，</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rPr>
        <w:t xml:space="preserve">大写：人民币</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rPr>
        <w:t xml:space="preserve">元整，</w:t>
      </w:r>
      <w:r>
        <w:rPr>
          <w:rFonts w:hint="eastAsia" w:ascii="仿宋" w:hAnsi="仿宋" w:eastAsia="仿宋" w:cs="仿宋"/>
          <w:sz w:val="28"/>
          <w:szCs w:val="28"/>
          <w:lang w:val="en-US" w:eastAsia="zh-CN"/>
        </w:rPr>
        <w:t xml:space="preserve">买方在竣工验收合格后30天内，办理政府采购资金结算手续支付给乙方。</w:t>
      </w:r>
      <w:r/>
    </w:p>
    <w:p>
      <w:pPr>
        <w:ind w:firstLine="600"/>
        <w:spacing w:line="520" w:lineRule="exact"/>
        <w:rPr>
          <w:rFonts w:ascii="仿宋" w:hAnsi="仿宋" w:eastAsia="仿宋" w:cs="仿宋"/>
          <w:sz w:val="28"/>
          <w:szCs w:val="28"/>
        </w:rPr>
      </w:pPr>
      <w:r>
        <w:rPr>
          <w:rFonts w:hint="eastAsia" w:ascii="仿宋" w:hAnsi="仿宋" w:eastAsia="仿宋" w:cs="仿宋"/>
          <w:sz w:val="28"/>
          <w:szCs w:val="28"/>
        </w:rPr>
        <w:t xml:space="preserve">卖方需提交的支付文件包括：</w:t>
      </w:r>
      <w:r/>
    </w:p>
    <w:p>
      <w:pPr>
        <w:ind w:firstLine="600"/>
        <w:spacing w:line="520" w:lineRule="exact"/>
        <w:rPr>
          <w:rFonts w:ascii="仿宋" w:hAnsi="仿宋" w:eastAsia="仿宋" w:cs="Times New Roman"/>
          <w:sz w:val="28"/>
          <w:szCs w:val="28"/>
          <w:lang w:val="en-US" w:eastAsia="zh-CN"/>
        </w:rPr>
      </w:pPr>
      <w:r>
        <w:rPr>
          <w:rFonts w:hint="eastAsia" w:ascii="仿宋" w:hAnsi="仿宋" w:eastAsia="仿宋" w:cs="仿宋"/>
          <w:sz w:val="28"/>
          <w:szCs w:val="28"/>
        </w:rPr>
        <w:t xml:space="preserve">卖方出具的正式发票；</w:t>
      </w:r>
      <w:r>
        <w:rPr>
          <w:rFonts w:hint="eastAsia" w:ascii="仿宋" w:hAnsi="仿宋" w:eastAsia="仿宋" w:cs="仿宋"/>
          <w:sz w:val="28"/>
          <w:szCs w:val="28"/>
          <w:lang w:val="en-US" w:eastAsia="zh-CN"/>
        </w:rPr>
        <w:t xml:space="preserve">发票中应以供货单价和数量形式体现。</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第五条 交货</w:t>
      </w:r>
      <w:r/>
    </w:p>
    <w:p>
      <w:pPr>
        <w:ind w:firstLine="600"/>
        <w:spacing w:line="520" w:lineRule="exact"/>
        <w:rPr>
          <w:rFonts w:hint="eastAsia" w:ascii="仿宋" w:hAnsi="仿宋" w:eastAsia="仿宋" w:cs="Times New Roman"/>
          <w:b/>
          <w:sz w:val="28"/>
          <w:szCs w:val="28"/>
        </w:rPr>
      </w:pPr>
      <w:r>
        <w:rPr>
          <w:rFonts w:hint="eastAsia" w:ascii="仿宋" w:hAnsi="仿宋" w:eastAsia="仿宋" w:cs="Times New Roman"/>
          <w:sz w:val="28"/>
          <w:szCs w:val="28"/>
        </w:rPr>
        <w:t xml:space="preserve">5.1卖方应于合同生效日后，</w:t>
      </w:r>
      <w:r>
        <w:rPr>
          <w:rFonts w:hint="eastAsia" w:ascii="仿宋" w:hAnsi="仿宋" w:eastAsia="仿宋" w:cs="Times New Roman"/>
          <w:bCs/>
          <w:sz w:val="28"/>
          <w:szCs w:val="28"/>
          <w:highlight w:val="none"/>
        </w:rPr>
        <w:t xml:space="preserve">供货商按照采购单位需求进行分批次供货</w:t>
      </w:r>
      <w:r>
        <w:rPr>
          <w:rFonts w:hint="eastAsia" w:ascii="仿宋" w:hAnsi="仿宋" w:eastAsia="仿宋" w:cs="Times New Roman"/>
          <w:bCs/>
          <w:sz w:val="28"/>
          <w:szCs w:val="28"/>
        </w:rPr>
        <w:t xml:space="preserve">。</w:t>
      </w:r>
      <w:r>
        <w:rPr>
          <w:rFonts w:hint="eastAsia" w:ascii="仿宋" w:hAnsi="仿宋" w:eastAsia="仿宋" w:cs="Times New Roman"/>
          <w:bCs/>
          <w:sz w:val="28"/>
          <w:szCs w:val="28"/>
          <w:lang w:val="en-US" w:eastAsia="zh-CN"/>
        </w:rPr>
        <w:t xml:space="preserve">每次供货需严格按照采购人提出的需求量提供，不得随意增加或减少单次供货量。在采购人提出供货要求30日内供货安装到位。</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5.2 交货地点为</w:t>
      </w:r>
      <w:r>
        <w:rPr>
          <w:rFonts w:hint="eastAsia" w:ascii="仿宋" w:hAnsi="仿宋" w:eastAsia="仿宋" w:cs="Times New Roman"/>
          <w:sz w:val="28"/>
          <w:szCs w:val="28"/>
          <w:u w:val="single"/>
        </w:rPr>
        <w:t xml:space="preserve">买方指定地点</w:t>
      </w:r>
      <w:r>
        <w:rPr>
          <w:rFonts w:hint="eastAsia" w:ascii="仿宋" w:hAnsi="仿宋" w:eastAsia="仿宋" w:cs="Times New Roman"/>
          <w:sz w:val="28"/>
          <w:szCs w:val="28"/>
        </w:rPr>
        <w:t xml:space="preserve">。</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5.3卖方应在不迟于每批合同标的备妥待运前</w:t>
      </w:r>
      <w:r>
        <w:rPr>
          <w:rFonts w:hint="eastAsia" w:ascii="仿宋" w:hAnsi="仿宋" w:eastAsia="仿宋" w:cs="Times New Roman"/>
          <w:sz w:val="28"/>
          <w:szCs w:val="28"/>
          <w:u w:val="single"/>
        </w:rPr>
        <w:t xml:space="preserve"> 5 </w:t>
      </w:r>
      <w:r>
        <w:rPr>
          <w:rFonts w:hint="eastAsia" w:ascii="仿宋" w:hAnsi="仿宋" w:eastAsia="仿宋" w:cs="Times New Roman"/>
          <w:sz w:val="28"/>
          <w:szCs w:val="28"/>
        </w:rPr>
        <w:t xml:space="preserve">日通知买方。</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如果卖方未能按照合同规定的交货期限交货，卖方应按每天迟交合同标的金额的百分之</w:t>
      </w:r>
      <w:r>
        <w:rPr>
          <w:rFonts w:hint="eastAsia" w:ascii="仿宋" w:hAnsi="仿宋" w:eastAsia="仿宋" w:cs="Times New Roman"/>
          <w:sz w:val="28"/>
          <w:szCs w:val="28"/>
          <w:u w:val="single"/>
        </w:rPr>
        <w:t xml:space="preserve">一</w:t>
      </w:r>
      <w:r>
        <w:rPr>
          <w:rFonts w:hint="eastAsia" w:ascii="仿宋" w:hAnsi="仿宋" w:eastAsia="仿宋" w:cs="Times New Roman"/>
          <w:sz w:val="28"/>
          <w:szCs w:val="28"/>
        </w:rPr>
        <w:t xml:space="preserve"> (</w:t>
      </w:r>
      <w:r>
        <w:rPr>
          <w:rFonts w:hint="eastAsia" w:ascii="仿宋" w:hAnsi="仿宋" w:eastAsia="仿宋" w:cs="Times New Roman"/>
          <w:sz w:val="28"/>
          <w:szCs w:val="28"/>
          <w:u w:val="single"/>
        </w:rPr>
        <w:t xml:space="preserve">1</w:t>
      </w:r>
      <w:r>
        <w:rPr>
          <w:rFonts w:hint="eastAsia" w:ascii="仿宋" w:hAnsi="仿宋" w:eastAsia="仿宋" w:cs="Times New Roman"/>
          <w:sz w:val="28"/>
          <w:szCs w:val="28"/>
        </w:rPr>
        <w:t xml:space="preserve">%)的比率支付违约金。违约金的总金额不超过合同总价的百分之</w:t>
      </w:r>
      <w:r>
        <w:rPr>
          <w:rFonts w:hint="eastAsia" w:ascii="仿宋" w:hAnsi="仿宋" w:eastAsia="仿宋" w:cs="Times New Roman"/>
          <w:sz w:val="28"/>
          <w:szCs w:val="28"/>
          <w:u w:val="single"/>
        </w:rPr>
        <w:t xml:space="preserve">十</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10</w:t>
      </w:r>
      <w:r>
        <w:rPr>
          <w:rFonts w:hint="eastAsia" w:ascii="仿宋" w:hAnsi="仿宋" w:eastAsia="仿宋" w:cs="Times New Roman"/>
          <w:sz w:val="28"/>
          <w:szCs w:val="28"/>
        </w:rPr>
        <w:t xml:space="preserve">%) ，违约金的支付不能免除卖方继续交付相关合同标的的义务。</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如果卖方在合同规定的交货期限后</w:t>
      </w:r>
      <w:r>
        <w:rPr>
          <w:rFonts w:hint="eastAsia" w:ascii="仿宋" w:hAnsi="仿宋" w:eastAsia="仿宋" w:cs="Times New Roman"/>
          <w:sz w:val="28"/>
          <w:szCs w:val="28"/>
          <w:u w:val="single"/>
        </w:rPr>
        <w:t xml:space="preserve">十</w:t>
      </w:r>
      <w:r>
        <w:rPr>
          <w:rFonts w:hint="eastAsia" w:ascii="仿宋" w:hAnsi="仿宋" w:eastAsia="仿宋" w:cs="Times New Roman"/>
          <w:sz w:val="28"/>
          <w:szCs w:val="28"/>
        </w:rPr>
        <w:t xml:space="preserve">日内仍未能交付全部或部分标的，在不妨碍买方采取其他救济手段的情况下，买方可以向卖方发出书面违约通知从而全部或部分地终止合同。</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第七条 技术资料</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7.1 技术资料随合同标的同时交付给买方。</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第八条 安装</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8.1卖方应于合同生效日后，</w:t>
      </w:r>
      <w:r>
        <w:rPr>
          <w:rFonts w:hint="eastAsia" w:ascii="仿宋" w:hAnsi="仿宋" w:eastAsia="仿宋" w:cs="Times New Roman"/>
          <w:bCs/>
          <w:sz w:val="28"/>
          <w:szCs w:val="28"/>
          <w:highlight w:val="none"/>
        </w:rPr>
        <w:t xml:space="preserve">供货商按照采购单位需求进行分批次供货，在接到采购单位通知后，15</w:t>
      </w:r>
      <w:r>
        <w:rPr>
          <w:rFonts w:hint="eastAsia" w:ascii="仿宋" w:hAnsi="仿宋" w:eastAsia="仿宋" w:cs="Times New Roman"/>
          <w:bCs/>
          <w:sz w:val="28"/>
          <w:szCs w:val="28"/>
          <w:highlight w:val="none"/>
          <w:lang w:val="en-US" w:eastAsia="zh-CN"/>
        </w:rPr>
        <w:t xml:space="preserve">日</w:t>
      </w:r>
      <w:r>
        <w:rPr>
          <w:rFonts w:hint="eastAsia" w:ascii="仿宋" w:hAnsi="仿宋" w:eastAsia="仿宋" w:cs="Times New Roman"/>
          <w:bCs/>
          <w:sz w:val="28"/>
          <w:szCs w:val="28"/>
          <w:highlight w:val="none"/>
        </w:rPr>
        <w:t xml:space="preserve">内将所需产品送到采购单位所指定的位置，并负责搬运</w:t>
      </w:r>
      <w:r>
        <w:rPr>
          <w:rFonts w:hint="eastAsia" w:ascii="仿宋" w:hAnsi="仿宋" w:eastAsia="仿宋" w:cs="Times New Roman"/>
          <w:bCs/>
          <w:sz w:val="28"/>
          <w:szCs w:val="28"/>
          <w:highlight w:val="none"/>
          <w:lang w:eastAsia="zh-CN"/>
        </w:rPr>
        <w:t xml:space="preserve">安装</w:t>
      </w:r>
      <w:r>
        <w:rPr>
          <w:rFonts w:hint="eastAsia" w:ascii="仿宋" w:hAnsi="仿宋" w:eastAsia="仿宋" w:cs="Times New Roman"/>
          <w:bCs/>
          <w:sz w:val="28"/>
          <w:szCs w:val="28"/>
          <w:highlight w:val="none"/>
        </w:rPr>
        <w:t xml:space="preserve">完毕</w:t>
      </w:r>
      <w:r>
        <w:rPr>
          <w:rFonts w:hint="eastAsia" w:ascii="仿宋" w:hAnsi="仿宋" w:eastAsia="仿宋" w:cs="Times New Roman"/>
          <w:bCs/>
          <w:sz w:val="28"/>
          <w:szCs w:val="28"/>
        </w:rPr>
        <w:t xml:space="preserve">。</w:t>
      </w:r>
      <w:r>
        <w:rPr>
          <w:rFonts w:hint="eastAsia" w:ascii="仿宋" w:hAnsi="仿宋" w:eastAsia="仿宋" w:cs="Times New Roman"/>
          <w:sz w:val="28"/>
          <w:szCs w:val="28"/>
          <w:highlight w:val="none"/>
          <w:u w:val="single"/>
          <w:lang w:val="en-US" w:eastAsia="zh-CN"/>
        </w:rPr>
        <w:t xml:space="preserve">/</w:t>
      </w:r>
      <w:r>
        <w:rPr>
          <w:rFonts w:hint="eastAsia" w:ascii="仿宋" w:hAnsi="仿宋" w:eastAsia="仿宋" w:cs="Times New Roman"/>
          <w:sz w:val="28"/>
          <w:szCs w:val="28"/>
          <w:highlight w:val="none"/>
          <w:u w:val="single"/>
        </w:rPr>
        <w:t xml:space="preserve">日内</w:t>
      </w:r>
      <w:r>
        <w:rPr>
          <w:rFonts w:hint="eastAsia" w:ascii="仿宋" w:hAnsi="仿宋" w:eastAsia="仿宋" w:cs="Times New Roman"/>
          <w:sz w:val="28"/>
          <w:szCs w:val="28"/>
        </w:rPr>
        <w:t xml:space="preserve">将合同标的全部交付完毕。</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第九条 验收</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9.1 签订合同后，所有标的出厂需经买方验收</w:t>
      </w:r>
      <w:r>
        <w:rPr>
          <w:rFonts w:hint="eastAsia" w:ascii="仿宋" w:hAnsi="仿宋" w:eastAsia="仿宋" w:cs="Times New Roman"/>
          <w:sz w:val="28"/>
          <w:szCs w:val="28"/>
          <w:lang w:val="en-US" w:eastAsia="zh-CN"/>
        </w:rPr>
        <w:t xml:space="preserve">合格</w:t>
      </w:r>
      <w:r>
        <w:rPr>
          <w:rFonts w:hint="eastAsia" w:ascii="仿宋" w:hAnsi="仿宋" w:eastAsia="仿宋" w:cs="Times New Roman"/>
          <w:sz w:val="28"/>
          <w:szCs w:val="28"/>
        </w:rPr>
        <w:t xml:space="preserve">后方可发货。</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9.2 合同标的的试运行、验收应在卖方的协助下进行。合同标的全部交付并安装完毕后，卖方可向买方书面提出试运行、验收要求，买方在接到书面要求后</w:t>
      </w:r>
      <w:r>
        <w:rPr>
          <w:rFonts w:hint="eastAsia" w:ascii="仿宋" w:hAnsi="仿宋" w:eastAsia="仿宋" w:cs="Times New Roman"/>
          <w:sz w:val="28"/>
          <w:szCs w:val="28"/>
          <w:u w:val="single"/>
        </w:rPr>
        <w:t xml:space="preserve"> 10 </w:t>
      </w:r>
      <w:r>
        <w:rPr>
          <w:rFonts w:hint="eastAsia" w:ascii="仿宋" w:hAnsi="仿宋" w:eastAsia="仿宋" w:cs="Times New Roman"/>
          <w:sz w:val="28"/>
          <w:szCs w:val="28"/>
        </w:rPr>
        <w:t xml:space="preserve">日进行试运行、验收。如果试运行和/或验收因卖方原因发生迟延和/ 或在其它情况下发生额外费用，买方有权就因迟延发生的损害和损失和/或任何额外费用请求赔偿。</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第十一条 索赔</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11.1买方有权选择本条款规定的任意或全部救济方式。</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11.2卖方应在收到买方索赔要求后14日内作出书面回复，否则该索赔要求将被视为已被卖方接受。卖方应在买方发出索赔要求后14日内，按照买方选择的救济方法解决索赔事宜。</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第十二条 不可抗力</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12.3 如果不可抗力事件的影响持续超过20日，合同任何一方均有权发出书面通知终止合同。</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第十三条 合同的终止</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13.1如果卖方有下述违约行为，买方可以全部或部分地终止合同：</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卖方在合同规定的交货期限后</w:t>
      </w:r>
      <w:r>
        <w:rPr>
          <w:rFonts w:hint="eastAsia" w:ascii="仿宋" w:hAnsi="仿宋" w:eastAsia="仿宋" w:cs="Times New Roman"/>
          <w:sz w:val="28"/>
          <w:szCs w:val="28"/>
          <w:u w:val="single"/>
        </w:rPr>
        <w:t xml:space="preserve">10</w:t>
      </w:r>
      <w:r>
        <w:rPr>
          <w:rFonts w:hint="eastAsia" w:ascii="仿宋" w:hAnsi="仿宋" w:eastAsia="仿宋" w:cs="Times New Roman"/>
          <w:sz w:val="28"/>
          <w:szCs w:val="28"/>
        </w:rPr>
        <w:t xml:space="preserve">日内仍未能交付合同标的和/ 或技术资料；或者卖方未能履行合同项下任何其它义务，并且在收到买方违约通知后</w:t>
      </w:r>
      <w:r>
        <w:rPr>
          <w:rFonts w:hint="eastAsia" w:ascii="仿宋" w:hAnsi="仿宋" w:eastAsia="仿宋" w:cs="Times New Roman"/>
          <w:sz w:val="28"/>
          <w:szCs w:val="28"/>
          <w:u w:val="single"/>
        </w:rPr>
        <w:t xml:space="preserve">5</w:t>
      </w:r>
      <w:r>
        <w:rPr>
          <w:rFonts w:hint="eastAsia" w:ascii="仿宋" w:hAnsi="仿宋" w:eastAsia="仿宋" w:cs="Times New Roman"/>
          <w:sz w:val="28"/>
          <w:szCs w:val="28"/>
        </w:rPr>
        <w:t xml:space="preserve">日内仍未能对其违约行为作出补救。</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第十四条 争议的解决</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14.1如果不能协商一致，合同任何一方有权向买方所在地人民法院提起诉讼。</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第十八条 合同生效及其他</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18.10 按照《财政部关于做好政府采购信息公开工作的通知》（财库〔2015〕135号），买方依据《保守国家秘密法》等法律制度规定确定本合同</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部分涉及国家秘密，该涉及国家秘密部分不公告；买方依据《反不正当竞争法》等法律制度的规定与卖方约定本合同</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部分涉及商业秘密，该涉及商业秘密部分不公告。</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18.11 合同双方的通讯地址：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买方:</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地址: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邮编: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电话: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传真: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卖方: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地址: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邮编: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电话: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传真: </w:t>
      </w:r>
      <w:r/>
    </w:p>
    <w:p>
      <w:pPr>
        <w:jc w:val="center"/>
        <w:spacing w:line="520" w:lineRule="exact"/>
        <w:rPr>
          <w:rFonts w:hint="eastAsia" w:ascii="仿宋" w:hAnsi="仿宋" w:eastAsia="仿宋" w:cs="Times New Roman"/>
          <w:sz w:val="28"/>
          <w:szCs w:val="28"/>
        </w:rPr>
      </w:pPr>
      <w:r>
        <w:rPr>
          <w:rFonts w:hint="eastAsia" w:ascii="仿宋" w:hAnsi="仿宋" w:eastAsia="仿宋" w:cs="Times New Roman"/>
          <w:sz w:val="28"/>
          <w:szCs w:val="28"/>
        </w:rPr>
        <w:br w:type="page" w:clear="all"/>
      </w:r>
      <w:r>
        <w:rPr>
          <w:rFonts w:hint="eastAsia" w:ascii="仿宋" w:hAnsi="仿宋" w:eastAsia="仿宋" w:cs="Times New Roman"/>
          <w:sz w:val="28"/>
          <w:szCs w:val="28"/>
        </w:rPr>
        <w:t xml:space="preserve">合同附件</w:t>
      </w:r>
      <w:r/>
    </w:p>
    <w:p>
      <w:pPr>
        <w:ind w:firstLine="600"/>
        <w:jc w:val="center"/>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jc w:val="cente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目录</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合同附件1：合同协议书</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合同附件2：技术规格和技术性能</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(要求见招标文件第六章《采购需求》；合同见卖方投标文件。)</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合同附件3：售后服务</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(要求见招标文件第六章《采购需求》；合同见卖方投标文件。)</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合同附件4：供货范围和价格清单</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(要求见招标文件第七章《投标文件相关格式》中《开标一览表》和《分项价格表》；合同见卖方投标文件。)</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合同附件5：产品质量保证函</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ascii="仿宋" w:hAnsi="仿宋" w:eastAsia="仿宋" w:cs="Times New Roman"/>
          <w:sz w:val="28"/>
          <w:szCs w:val="28"/>
        </w:rPr>
        <w:br w:type="page" w:clear="all"/>
      </w:r>
      <w:r>
        <w:rPr>
          <w:rFonts w:hint="eastAsia" w:ascii="仿宋" w:hAnsi="仿宋" w:eastAsia="仿宋" w:cs="Times New Roman"/>
          <w:sz w:val="28"/>
          <w:szCs w:val="28"/>
        </w:rPr>
        <w:t xml:space="preserve">合同附件1：</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合同协议书</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合同编号:____________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签字日期:____________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签字地点:____________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（买方名称）（以下简称“买方”）已接受</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（卖方名称）（以下简称“卖方”）对</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（项目名称）（</w:t>
      </w:r>
      <w:r>
        <w:rPr>
          <w:rFonts w:hint="eastAsia" w:ascii="仿宋" w:hAnsi="仿宋" w:eastAsia="仿宋" w:cs="Times New Roman"/>
          <w:sz w:val="28"/>
          <w:szCs w:val="28"/>
          <w:highlight w:val="none"/>
        </w:rPr>
        <w:t xml:space="preserve">项目编号：</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rPr>
        <w:t xml:space="preserve">的投标。买方和卖方共同达成如下协议。</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1.本合同协议书中的词语和术语的含义与合同条款中定义的相同。</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 以下文件应构成买方和卖方之间达成的合同，若各文件之间存在含糊不清或互相冲突之处，优先顺序应按下列文件顺序解释。</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 合同协议书</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 中标通知书</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 合同专用条款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(4) 合同通用条款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 除合同附件1外的合同附件</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(6) 其他文件</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 考虑到买方将按照本合同向卖方支付合同价款，卖方在此保证全部按照合同的规定向买方提供合同标的、技术资料、售后服务及技术培训。</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4. 考虑到卖方将按合同规定提供合同标的、技术资料、售后服务及技术培训，买方在此保证按照合同规定的时间和方式向卖方支付合同价款。</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5. 本合同在下列条件全部满足后生效，生效日期以下列条件全部满足的最晚日期为准：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 双方加盖公章或合同专用章；</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6. 合同一式</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份，具有同等法律效力，买方</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份，卖方</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份，政府采购管理部门一份备案。</w:t>
      </w:r>
      <w:r/>
    </w:p>
    <w:p>
      <w:pPr>
        <w:ind w:firstLine="60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rPr>
        <w:t xml:space="preserve">7.本合同其他未尽事宜及与采购文件有矛盾之处，以采购文</w:t>
      </w:r>
      <w:r>
        <w:rPr>
          <w:rFonts w:hint="eastAsia" w:ascii="仿宋" w:hAnsi="仿宋" w:eastAsia="仿宋" w:cs="Times New Roman"/>
          <w:sz w:val="28"/>
          <w:szCs w:val="28"/>
          <w:highlight w:val="none"/>
        </w:rPr>
        <w:t xml:space="preserve">件[项目编号：</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rPr>
        <w:t xml:space="preserve">]为准。</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买方和卖方由其正式授权代表于上述所写日期和地点签订本合同。</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买方（签章）：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法定代表人或授权代表(签名)：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开户银行：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银行帐号：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卖方（签章）：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法定代表人或授权代表(签名)： </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开户银行： </w:t>
      </w:r>
      <w:r/>
    </w:p>
    <w:p>
      <w:pPr>
        <w:pStyle w:val="1186"/>
        <w:ind w:left="0" w:firstLine="600"/>
        <w:jc w:val="both"/>
        <w:tabs>
          <w:tab w:val="left" w:pos="1440" w:leader="none"/>
          <w:tab w:val="right" w:pos="8296" w:leader="dot"/>
        </w:tabs>
        <w:rPr>
          <w:rFonts w:hint="eastAsia" w:ascii="仿宋" w:hAnsi="仿宋" w:eastAsia="仿宋"/>
          <w:sz w:val="28"/>
          <w:szCs w:val="28"/>
        </w:rPr>
      </w:pPr>
      <w:r>
        <w:rPr>
          <w:rFonts w:hint="eastAsia" w:ascii="仿宋" w:hAnsi="仿宋" w:eastAsia="仿宋"/>
          <w:sz w:val="28"/>
          <w:szCs w:val="28"/>
        </w:rPr>
        <w:t xml:space="preserve">银行帐号：</w:t>
      </w:r>
      <w:r/>
    </w:p>
    <w:p>
      <w:pPr>
        <w:jc w:val="both"/>
        <w:spacing w:before="0" w:beforeAutospacing="0" w:after="0" w:afterAutospacing="0" w:line="360" w:lineRule="auto"/>
        <w:widowControl/>
        <w:rPr>
          <w:rFonts w:hint="eastAsia" w:ascii="仿宋_GB2312" w:hAnsi="仿宋_GB2312" w:eastAsia="仿宋_GB2312" w:cs="仿宋_GB2312"/>
          <w:sz w:val="28"/>
          <w:szCs w:val="28"/>
          <w:lang w:val="en-US" w:eastAsia="zh-CN" w:bidi="ar-SA"/>
        </w:rPr>
      </w:pPr>
      <w:r>
        <w:rPr>
          <w:rFonts w:hint="eastAsia" w:ascii="仿宋" w:hAnsi="仿宋" w:eastAsia="仿宋" w:cs="宋体"/>
          <w:sz w:val="28"/>
          <w:szCs w:val="28"/>
          <w:lang w:val="en-US" w:eastAsia="zh-CN" w:bidi="ar-SA"/>
        </w:rPr>
        <w:br w:type="page" w:clear="all"/>
      </w:r>
      <w:r>
        <w:rPr>
          <w:rFonts w:hint="eastAsia" w:ascii="仿宋_GB2312" w:hAnsi="仿宋_GB2312" w:eastAsia="仿宋_GB2312" w:cs="仿宋_GB2312"/>
          <w:sz w:val="28"/>
          <w:szCs w:val="28"/>
          <w:lang w:val="en-US" w:eastAsia="zh-CN" w:bidi="ar-SA"/>
        </w:rPr>
        <w:t xml:space="preserve">合同附件5：</w:t>
      </w:r>
      <w:r/>
    </w:p>
    <w:p>
      <w:pPr>
        <w:jc w:val="cente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产品质量保证函</w:t>
      </w:r>
      <w:r/>
    </w:p>
    <w:p>
      <w:pPr>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致</w:t>
      </w:r>
      <w:r>
        <w:rPr>
          <w:rFonts w:hint="eastAsia" w:ascii="仿宋" w:hAnsi="仿宋" w:eastAsia="仿宋" w:cs="Times New Roman"/>
          <w:sz w:val="28"/>
          <w:szCs w:val="28"/>
          <w:lang w:val="en-US" w:eastAsia="zh-CN"/>
        </w:rPr>
        <w:t xml:space="preserve">徐州市贾汪区城市管理局</w:t>
      </w:r>
      <w:r>
        <w:rPr>
          <w:rFonts w:hint="eastAsia" w:ascii="仿宋" w:hAnsi="仿宋" w:eastAsia="仿宋" w:cs="Times New Roman"/>
          <w:sz w:val="28"/>
          <w:szCs w:val="28"/>
        </w:rPr>
        <w:t xml:space="preserve">：</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兹就我司向贵单位供应的产品质量保证如下：</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1.</w:t>
      </w:r>
      <w:r>
        <w:rPr>
          <w:rFonts w:hint="eastAsia" w:ascii="仿宋" w:hAnsi="仿宋" w:eastAsia="仿宋" w:cs="Times New Roman"/>
          <w:sz w:val="28"/>
          <w:szCs w:val="28"/>
        </w:rPr>
        <w:t xml:space="preserve">已清楚知悉贵单位对产品的质量要求、使用环境及用途，保证产品能够正常使用。</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2.</w:t>
      </w:r>
      <w:r>
        <w:rPr>
          <w:rFonts w:hint="eastAsia" w:ascii="仿宋" w:hAnsi="仿宋" w:eastAsia="仿宋" w:cs="Times New Roman"/>
          <w:sz w:val="28"/>
          <w:szCs w:val="28"/>
        </w:rPr>
        <w:t xml:space="preserve">产品性能、技术标准及规格参数等完全符合招标文件中的要求，不存在任何质量瑕疵或隐患。</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3.</w:t>
      </w:r>
      <w:r>
        <w:rPr>
          <w:rFonts w:hint="eastAsia" w:ascii="仿宋" w:hAnsi="仿宋" w:eastAsia="仿宋" w:cs="Times New Roman"/>
          <w:sz w:val="28"/>
          <w:szCs w:val="28"/>
        </w:rPr>
        <w:t xml:space="preserve">自贵单位在产品签收及发放过程中发现的残次品有权要求我司在一周内进行退换，由此产生的运费等费用由我司承担。</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4.</w:t>
      </w:r>
      <w:r>
        <w:rPr>
          <w:rFonts w:hint="eastAsia" w:ascii="仿宋" w:hAnsi="仿宋" w:eastAsia="仿宋" w:cs="Times New Roman"/>
          <w:sz w:val="28"/>
          <w:szCs w:val="28"/>
        </w:rPr>
        <w:t xml:space="preserve">自产品</w:t>
      </w:r>
      <w:r>
        <w:rPr>
          <w:rFonts w:hint="eastAsia" w:ascii="仿宋" w:hAnsi="仿宋" w:eastAsia="仿宋" w:cs="Times New Roman"/>
          <w:sz w:val="28"/>
          <w:szCs w:val="28"/>
          <w:lang w:eastAsia="zh-CN"/>
        </w:rPr>
        <w:t xml:space="preserve">竣工验收</w:t>
      </w:r>
      <w:r>
        <w:rPr>
          <w:rFonts w:hint="eastAsia" w:ascii="仿宋" w:hAnsi="仿宋" w:eastAsia="仿宋" w:cs="Times New Roman"/>
          <w:sz w:val="28"/>
          <w:szCs w:val="28"/>
        </w:rPr>
        <w:t xml:space="preserve">之日起质保</w:t>
      </w:r>
      <w:r>
        <w:rPr>
          <w:rFonts w:hint="eastAsia" w:ascii="仿宋" w:hAnsi="仿宋" w:eastAsia="仿宋" w:cs="Times New Roman"/>
          <w:sz w:val="28"/>
          <w:szCs w:val="28"/>
          <w:lang w:eastAsia="zh-CN"/>
        </w:rPr>
        <w:t xml:space="preserve">贰</w:t>
      </w:r>
      <w:r>
        <w:rPr>
          <w:rFonts w:hint="eastAsia" w:ascii="仿宋" w:hAnsi="仿宋" w:eastAsia="仿宋" w:cs="Times New Roman"/>
          <w:sz w:val="28"/>
          <w:szCs w:val="28"/>
        </w:rPr>
        <w:t xml:space="preserve">年，质保期内产品若有任何质量异常或无法正常使用的，我司将在接到贵单位反馈后四</w:t>
      </w:r>
      <w:r>
        <w:rPr>
          <w:rFonts w:hint="eastAsia" w:ascii="仿宋" w:hAnsi="仿宋" w:eastAsia="仿宋" w:cs="Times New Roman"/>
          <w:sz w:val="28"/>
          <w:szCs w:val="28"/>
          <w:lang w:val="en-US" w:eastAsia="zh-CN"/>
        </w:rPr>
        <w:t xml:space="preserve">个</w:t>
      </w:r>
      <w:r>
        <w:rPr>
          <w:rFonts w:hint="eastAsia" w:ascii="仿宋" w:hAnsi="仿宋" w:eastAsia="仿宋" w:cs="Times New Roman"/>
          <w:sz w:val="28"/>
          <w:szCs w:val="28"/>
        </w:rPr>
        <w:t xml:space="preserve">工作小时内无条件响应，并立即按照贵单位要求于一周内进行退换</w:t>
      </w:r>
      <w:r>
        <w:rPr>
          <w:rFonts w:hint="eastAsia" w:ascii="仿宋" w:hAnsi="仿宋" w:eastAsia="仿宋" w:cs="Times New Roman"/>
          <w:sz w:val="28"/>
          <w:szCs w:val="28"/>
          <w:lang w:val="en-US" w:eastAsia="zh-CN"/>
        </w:rPr>
        <w:t xml:space="preserve">/维修</w:t>
      </w:r>
      <w:r>
        <w:rPr>
          <w:rFonts w:hint="eastAsia" w:ascii="仿宋" w:hAnsi="仿宋" w:eastAsia="仿宋" w:cs="Times New Roman"/>
          <w:sz w:val="28"/>
          <w:szCs w:val="28"/>
        </w:rPr>
        <w:t xml:space="preserve">；逾期未完成的，则贵单位有权自行或委托第三方进行处理，因此所产生的全部费用和损失概由我司承担。</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lang w:eastAsia="zh-CN"/>
        </w:rPr>
        <w:t xml:space="preserve">5.</w:t>
      </w:r>
      <w:r>
        <w:rPr>
          <w:rFonts w:hint="eastAsia" w:ascii="仿宋" w:hAnsi="仿宋" w:eastAsia="仿宋" w:cs="Times New Roman"/>
          <w:sz w:val="28"/>
          <w:szCs w:val="28"/>
        </w:rPr>
        <w:t xml:space="preserve">产品质量问题未得到彻底妥善处理的，贵单位有权将我司列入供应商黑名单禁止我司参与贵单位后续招投标活动，并向监管部门申请行政处罚。</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特此承诺！</w:t>
      </w:r>
      <w:r/>
    </w:p>
    <w:p>
      <w:pPr>
        <w:widowControl w:val="off"/>
        <w:rPr>
          <w:rFonts w:hint="eastAsia" w:ascii="仿宋" w:hAnsi="仿宋" w:eastAsia="仿宋" w:cs="宋体"/>
          <w:color w:val="000000"/>
          <w:sz w:val="28"/>
          <w:szCs w:val="28"/>
          <w:lang w:val="en-US" w:eastAsia="zh-CN" w:bidi="ar-SA"/>
        </w:rPr>
      </w:pPr>
      <w:r>
        <w:rPr>
          <w:rFonts w:hint="eastAsia" w:ascii="仿宋" w:hAnsi="仿宋" w:eastAsia="仿宋" w:cs="宋体"/>
          <w:color w:val="000000"/>
          <w:sz w:val="28"/>
          <w:szCs w:val="28"/>
          <w:lang w:val="en-US" w:eastAsia="zh-CN" w:bidi="ar-SA"/>
        </w:rPr>
      </w:r>
      <w:r/>
    </w:p>
    <w:p>
      <w:pPr>
        <w:widowControl w:val="off"/>
        <w:rPr>
          <w:rFonts w:hint="eastAsia" w:ascii="仿宋" w:hAnsi="仿宋" w:eastAsia="仿宋" w:cs="宋体"/>
          <w:color w:val="000000"/>
          <w:sz w:val="28"/>
          <w:szCs w:val="28"/>
          <w:lang w:val="en-US" w:eastAsia="zh-CN" w:bidi="ar-SA"/>
        </w:rPr>
      </w:pPr>
      <w:r>
        <w:rPr>
          <w:rFonts w:hint="eastAsia" w:ascii="仿宋" w:hAnsi="仿宋" w:eastAsia="仿宋" w:cs="宋体"/>
          <w:color w:val="000000"/>
          <w:sz w:val="28"/>
          <w:szCs w:val="28"/>
          <w:lang w:val="en-US" w:eastAsia="zh-CN" w:bidi="ar-SA"/>
        </w:rPr>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保证人（章）：</w:t>
      </w:r>
      <w:r/>
    </w:p>
    <w:p>
      <w:pPr>
        <w:ind w:firstLine="60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法定代表人（签章）：</w:t>
      </w:r>
      <w:r/>
    </w:p>
    <w:p>
      <w:pPr>
        <w:ind w:firstLine="600"/>
        <w:spacing w:line="520" w:lineRule="exact"/>
        <w:rPr>
          <w:rFonts w:hint="eastAsia" w:ascii="仿宋" w:hAnsi="仿宋" w:eastAsia="仿宋"/>
          <w:sz w:val="28"/>
          <w:szCs w:val="28"/>
        </w:rPr>
        <w:sectPr>
          <w:headerReference w:type="default" r:id="rId11"/>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Times New Roman"/>
          <w:sz w:val="28"/>
          <w:szCs w:val="28"/>
        </w:rPr>
        <w:t xml:space="preserve">日期：</w:t>
      </w:r>
      <w:r/>
    </w:p>
    <w:p>
      <w:pPr>
        <w:jc w:val="center"/>
        <w:spacing w:line="360" w:lineRule="auto"/>
        <w:rPr>
          <w:rFonts w:hint="eastAsia" w:ascii="宋体" w:hAnsi="宋体" w:eastAsia="宋体" w:cs="宋体"/>
          <w:b/>
          <w:bCs/>
          <w:color w:val="000000"/>
          <w:sz w:val="40"/>
          <w:szCs w:val="40"/>
          <w:highlight w:val="none"/>
        </w:rPr>
      </w:pPr>
      <w:r>
        <w:rPr>
          <w:rFonts w:hint="eastAsia" w:ascii="宋体" w:hAnsi="宋体" w:eastAsia="宋体" w:cs="宋体"/>
          <w:b/>
          <w:bCs/>
          <w:color w:val="000000"/>
          <w:sz w:val="40"/>
          <w:szCs w:val="40"/>
          <w:highlight w:val="none"/>
        </w:rPr>
        <w:t xml:space="preserve">第六章  采购需求</w:t>
      </w:r>
      <w:r/>
    </w:p>
    <w:p>
      <w:pPr>
        <w:ind w:firstLine="482"/>
        <w:jc w:val="left"/>
        <w:spacing w:before="0" w:beforeAutospacing="0" w:after="120" w:afterAutospacing="0" w:line="360" w:lineRule="auto"/>
        <w:widowControl/>
        <w:rPr>
          <w:rFonts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一、说明</w:t>
      </w:r>
      <w:r/>
    </w:p>
    <w:p>
      <w:pPr>
        <w:ind w:firstLine="480"/>
        <w:jc w:val="left"/>
        <w:spacing w:before="0" w:beforeAutospacing="0" w:after="120" w:afterAutospacing="0"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1、项目名称：</w:t>
      </w:r>
      <w:r>
        <w:rPr>
          <w:rFonts w:hint="eastAsia" w:ascii="宋体" w:hAnsi="宋体" w:cs="宋体"/>
          <w:sz w:val="24"/>
          <w:szCs w:val="24"/>
          <w:highlight w:val="none"/>
          <w:lang w:val="en-US" w:eastAsia="zh-CN" w:bidi="ar-SA"/>
        </w:rPr>
        <w:t xml:space="preserve">2025年贾汪城区垃圾分类收集房采购项目</w:t>
      </w:r>
      <w:r/>
    </w:p>
    <w:p>
      <w:pPr>
        <w:ind w:firstLine="480"/>
        <w:jc w:val="left"/>
        <w:spacing w:before="0" w:beforeAutospacing="0" w:after="120" w:afterAutospacing="0" w:line="360" w:lineRule="auto"/>
        <w:widowControl/>
        <w:tabs>
          <w:tab w:val="left" w:pos="231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2、项目地点：徐州市贾汪区</w:t>
      </w:r>
      <w:r/>
    </w:p>
    <w:p>
      <w:pPr>
        <w:ind w:firstLine="480"/>
        <w:jc w:val="left"/>
        <w:spacing w:before="0" w:beforeAutospacing="0" w:after="120" w:afterAutospacing="0" w:line="360" w:lineRule="auto"/>
        <w:widowControl/>
        <w:rPr>
          <w:rFonts w:hint="eastAsia" w:ascii="宋体" w:hAnsi="宋体" w:eastAsia="宋体" w:cs="宋体"/>
          <w:sz w:val="24"/>
          <w:szCs w:val="24"/>
          <w:highlight w:val="none"/>
          <w:lang w:val="en-US" w:eastAsia="zh-CN" w:bidi="ar-SA"/>
        </w:rPr>
      </w:pPr>
      <w:r>
        <w:rPr>
          <w:rFonts w:hint="eastAsia" w:ascii="Times New Roman" w:hAnsi="Times New Roman" w:eastAsia="宋体" w:cs="宋体"/>
          <w:sz w:val="24"/>
          <w:szCs w:val="24"/>
          <w:highlight w:val="none"/>
          <w:lang w:val="en-US" w:eastAsia="zh-CN" w:bidi="ar-SA"/>
        </w:rPr>
        <w:t xml:space="preserve">3、</w:t>
      </w:r>
      <w:r>
        <w:rPr>
          <w:rFonts w:hint="eastAsia" w:ascii="Times New Roman" w:hAnsi="Times New Roman" w:eastAsia="宋体" w:cs="宋体"/>
          <w:b/>
          <w:bCs/>
          <w:sz w:val="24"/>
          <w:szCs w:val="24"/>
          <w:highlight w:val="none"/>
          <w:lang w:val="en-US" w:eastAsia="zh-CN" w:bidi="ar-SA"/>
        </w:rPr>
        <w:t xml:space="preserve">合同签订后30日历天</w:t>
      </w:r>
      <w:r>
        <w:rPr>
          <w:rFonts w:hint="eastAsia" w:ascii="Times New Roman" w:hAnsi="Times New Roman" w:eastAsia="宋体" w:cs="宋体"/>
          <w:sz w:val="24"/>
          <w:szCs w:val="24"/>
          <w:highlight w:val="none"/>
          <w:lang w:val="en-US" w:eastAsia="zh-CN" w:bidi="ar-SA"/>
        </w:rPr>
        <w:t xml:space="preserve">内，供应商应保证在要求时间内完成全部货物的供货、安装、调试和培训工作,符合国家标准、行业规范和合同等相关文件的要求。</w:t>
      </w:r>
      <w:r/>
    </w:p>
    <w:p>
      <w:pPr>
        <w:ind w:firstLine="480"/>
        <w:spacing w:line="360" w:lineRule="auto"/>
        <w:rPr>
          <w:rFonts w:hint="default" w:ascii="宋体" w:hAnsi="宋体" w:cs="宋体"/>
          <w:sz w:val="24"/>
          <w:szCs w:val="24"/>
          <w:highlight w:val="none"/>
        </w:rPr>
      </w:pPr>
      <w:r>
        <w:rPr>
          <w:rFonts w:hint="eastAsia" w:ascii="宋体" w:hAnsi="宋体" w:cs="宋体"/>
          <w:sz w:val="24"/>
          <w:szCs w:val="24"/>
          <w:highlight w:val="none"/>
        </w:rPr>
        <w:t xml:space="preserve">4、项目采购预算金额：</w:t>
      </w:r>
      <w:r>
        <w:rPr>
          <w:rFonts w:ascii="宋体" w:hAnsi="宋体" w:cs="宋体"/>
          <w:sz w:val="24"/>
          <w:szCs w:val="24"/>
          <w:highlight w:val="none"/>
        </w:rPr>
        <w:t xml:space="preserve">本项目采购预算总金额</w:t>
      </w:r>
      <w:r>
        <w:rPr>
          <w:rFonts w:hint="eastAsia" w:ascii="宋体" w:hAnsi="宋体" w:cs="宋体"/>
          <w:sz w:val="24"/>
          <w:szCs w:val="24"/>
          <w:highlight w:val="none"/>
          <w:lang w:val="en-US" w:eastAsia="zh-CN"/>
        </w:rPr>
        <w:t xml:space="preserve">59.299</w:t>
      </w:r>
      <w:r>
        <w:rPr>
          <w:rFonts w:ascii="宋体" w:hAnsi="宋体" w:cs="宋体"/>
          <w:sz w:val="24"/>
          <w:szCs w:val="24"/>
          <w:highlight w:val="none"/>
        </w:rPr>
        <w:t xml:space="preserve">万元人民币</w:t>
      </w:r>
      <w:r>
        <w:rPr>
          <w:rFonts w:hint="eastAsia" w:ascii="宋体" w:hAnsi="宋体" w:eastAsia="宋体" w:cs="宋体"/>
          <w:sz w:val="24"/>
          <w:szCs w:val="24"/>
          <w:highlight w:val="none"/>
          <w:lang w:val="en-US" w:eastAsia="zh-CN"/>
        </w:rPr>
        <w:t xml:space="preserve">,</w:t>
      </w:r>
      <w:r>
        <w:rPr>
          <w:rFonts w:ascii="宋体" w:hAnsi="宋体" w:cs="宋体"/>
          <w:sz w:val="24"/>
          <w:szCs w:val="24"/>
          <w:highlight w:val="none"/>
        </w:rPr>
        <w:t xml:space="preserve">不接受超过</w:t>
      </w:r>
      <w:r>
        <w:rPr>
          <w:rFonts w:hint="eastAsia" w:ascii="宋体" w:hAnsi="宋体" w:cs="宋体"/>
          <w:sz w:val="24"/>
          <w:szCs w:val="24"/>
          <w:highlight w:val="none"/>
          <w:lang w:val="en-US" w:eastAsia="zh-CN"/>
        </w:rPr>
        <w:t xml:space="preserve">59.299</w:t>
      </w:r>
      <w:r>
        <w:rPr>
          <w:rFonts w:ascii="宋体" w:hAnsi="宋体" w:cs="宋体"/>
          <w:sz w:val="24"/>
          <w:szCs w:val="24"/>
          <w:highlight w:val="none"/>
        </w:rPr>
        <w:t xml:space="preserve">万元人民币（采购项目预算金额）的投标报价。</w:t>
      </w:r>
      <w:r/>
    </w:p>
    <w:p>
      <w:pPr>
        <w:ind w:firstLine="480"/>
        <w:spacing w:line="360" w:lineRule="auto"/>
        <w:rPr>
          <w:rFonts w:hint="default" w:ascii="Calibri" w:hAnsi="Calibri" w:cs="Times New Roman"/>
          <w:sz w:val="24"/>
          <w:szCs w:val="24"/>
          <w:highlight w:val="none"/>
        </w:rPr>
      </w:pPr>
      <w:r>
        <w:rPr>
          <w:rFonts w:ascii="Times New Roman" w:hAnsi="Times New Roman" w:cs="Times New Roman"/>
          <w:sz w:val="24"/>
          <w:szCs w:val="24"/>
          <w:highlight w:val="none"/>
        </w:rPr>
        <w:t xml:space="preserve">报价应包括招标文件中所确定的服务范围内所含的全部内容，以及为完成上述内容所需的全部费用。投标人应充分了解该项目的总体情况、各类市场风险以及影响投标报价的其他要素风险。采购人不再支付报价以外的任何费用。</w:t>
      </w:r>
      <w:r/>
    </w:p>
    <w:p>
      <w:pPr>
        <w:ind w:left="0" w:right="1440" w:firstLine="0"/>
        <w:jc w:val="both"/>
        <w:spacing w:after="120" w:line="360" w:lineRule="auto"/>
        <w:widowControl w:val="off"/>
        <w:rPr>
          <w:rFonts w:hint="default" w:ascii="Calibri" w:hAnsi="Calibri" w:eastAsia="宋体" w:cs="Times New Roman"/>
          <w:sz w:val="24"/>
          <w:szCs w:val="24"/>
          <w:lang w:val="en-US" w:eastAsia="zh-CN" w:bidi="ar-SA"/>
        </w:rPr>
      </w:pPr>
      <w:r>
        <w:rPr>
          <w:rFonts w:hint="eastAsia" w:ascii="Times New Roman" w:hAnsi="Times New Roman" w:eastAsia="宋体" w:cs="Times New Roman"/>
          <w:sz w:val="24"/>
          <w:szCs w:val="24"/>
          <w:highlight w:val="none"/>
          <w:lang w:val="en-US" w:eastAsia="zh-CN" w:bidi="ar-SA"/>
        </w:rPr>
        <w:t xml:space="preserve">    5、</w:t>
      </w:r>
      <w:r>
        <w:rPr>
          <w:rFonts w:hint="eastAsia" w:ascii="Times New Roman" w:hAnsi="Times New Roman" w:eastAsia="宋体" w:cs="Times New Roman"/>
          <w:b/>
          <w:bCs/>
          <w:sz w:val="24"/>
          <w:szCs w:val="24"/>
          <w:highlight w:val="none"/>
          <w:lang w:val="en-US" w:eastAsia="zh-CN" w:bidi="ar-SA"/>
        </w:rPr>
        <w:t xml:space="preserve">质保期：2年</w:t>
      </w:r>
      <w:r/>
    </w:p>
    <w:p>
      <w:pPr>
        <w:numPr>
          <w:ilvl w:val="0"/>
          <w:numId w:val="3"/>
        </w:numPr>
        <w:ind w:left="-62" w:firstLine="482"/>
        <w:jc w:val="left"/>
        <w:spacing w:before="0" w:beforeAutospacing="0" w:after="120" w:afterAutospacing="0" w:line="360" w:lineRule="auto"/>
        <w:widowControl/>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项目</w:t>
      </w:r>
      <w:r>
        <w:rPr>
          <w:rFonts w:hint="eastAsia" w:ascii="Times New Roman" w:hAnsi="Times New Roman" w:eastAsia="宋体" w:cs="宋体"/>
          <w:b/>
          <w:bCs/>
          <w:sz w:val="24"/>
          <w:szCs w:val="24"/>
          <w:highlight w:val="none"/>
          <w:lang w:val="en-US" w:eastAsia="zh-CN" w:bidi="ar-SA"/>
        </w:rPr>
        <w:t xml:space="preserve">简介</w:t>
      </w:r>
      <w:r/>
    </w:p>
    <w:p>
      <w:pPr>
        <w:numPr>
          <w:ilvl w:val="0"/>
          <w:numId w:val="0"/>
        </w:numPr>
        <w:ind w:firstLine="482"/>
        <w:jc w:val="left"/>
        <w:spacing w:before="0" w:beforeAutospacing="0" w:after="120" w:afterAutospacing="0" w:line="360" w:lineRule="auto"/>
        <w:widowControl/>
        <w:rPr>
          <w:rFonts w:hint="eastAsia" w:ascii="宋体" w:hAnsi="宋体" w:eastAsia="宋体" w:cs="宋体"/>
          <w:b/>
          <w:bCs/>
          <w:sz w:val="24"/>
          <w:szCs w:val="24"/>
          <w:highlight w:val="none"/>
          <w:lang w:val="en-US" w:eastAsia="zh-CN" w:bidi="ar-SA"/>
        </w:rPr>
        <w:outlineLvl w:val="0"/>
      </w:pPr>
      <w:r>
        <w:rPr>
          <w:rFonts w:hint="eastAsia" w:ascii="Times New Roman" w:hAnsi="Times New Roman" w:eastAsia="宋体" w:cs="宋体"/>
          <w:b/>
          <w:bCs/>
          <w:sz w:val="24"/>
          <w:szCs w:val="24"/>
          <w:highlight w:val="none"/>
          <w:lang w:val="en-US" w:eastAsia="zh-CN" w:bidi="ar-SA"/>
        </w:rPr>
        <w:t xml:space="preserve">实施范围内小区生活垃圾分类推行四分类即：有害垃圾、可回收物、厨余垃圾和其他垃圾四种类别并分类投放</w:t>
      </w:r>
      <w:r/>
    </w:p>
    <w:p>
      <w:pPr>
        <w:numPr>
          <w:ilvl w:val="0"/>
          <w:numId w:val="0"/>
        </w:numPr>
        <w:ind w:firstLine="482"/>
        <w:spacing w:line="360" w:lineRule="auto"/>
        <w:rPr>
          <w:rFonts w:hint="eastAsia" w:ascii="仿宋" w:hAnsi="仿宋" w:eastAsia="仿宋" w:cs="仿宋"/>
          <w:b/>
          <w:sz w:val="24"/>
          <w:szCs w:val="24"/>
          <w:highlight w:val="none"/>
        </w:rPr>
      </w:pPr>
      <w:r>
        <w:rPr>
          <w:rFonts w:hint="eastAsia" w:ascii="宋体" w:hAnsi="宋体" w:cs="宋体"/>
          <w:b/>
          <w:bCs/>
          <w:sz w:val="24"/>
          <w:szCs w:val="24"/>
          <w:highlight w:val="none"/>
        </w:rPr>
        <w:t xml:space="preserve">三、</w:t>
      </w:r>
      <w:r>
        <w:rPr>
          <w:rFonts w:hint="eastAsia" w:ascii="仿宋" w:hAnsi="仿宋" w:eastAsia="仿宋" w:cs="仿宋"/>
          <w:b/>
          <w:sz w:val="24"/>
          <w:szCs w:val="24"/>
          <w:highlight w:val="none"/>
        </w:rPr>
        <w:t xml:space="preserve">总体要求</w:t>
      </w:r>
      <w:bookmarkStart w:id="7" w:name="_Toc513151351"/>
      <w:r/>
      <w:bookmarkEnd w:id="7"/>
      <w:r/>
      <w:r/>
    </w:p>
    <w:p>
      <w:pPr>
        <w:ind w:firstLine="0"/>
        <w:jc w:val="both"/>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1、</w:t>
      </w:r>
      <w:r>
        <w:rPr>
          <w:rFonts w:hint="eastAsia" w:ascii="Times New Roman" w:hAnsi="Times New Roman" w:eastAsia="宋体" w:cs="Times New Roman"/>
          <w:b/>
          <w:bCs/>
          <w:sz w:val="24"/>
          <w:szCs w:val="24"/>
          <w:highlight w:val="none"/>
          <w:lang w:val="en-US" w:eastAsia="zh-CN" w:bidi="ar-SA"/>
        </w:rPr>
        <w:t xml:space="preserve">项目工程量（最终以实际招标为准）：约</w:t>
      </w:r>
      <w:r>
        <w:rPr>
          <w:rFonts w:hint="eastAsia" w:cs="Times New Roman"/>
          <w:b/>
          <w:bCs/>
          <w:sz w:val="24"/>
          <w:szCs w:val="24"/>
          <w:highlight w:val="none"/>
          <w:lang w:val="en-US" w:eastAsia="zh-CN" w:bidi="ar-SA"/>
        </w:rPr>
        <w:t xml:space="preserve">312</w:t>
      </w:r>
      <w:r>
        <w:rPr>
          <w:rFonts w:hint="eastAsia" w:ascii="Times New Roman" w:hAnsi="Times New Roman" w:eastAsia="宋体" w:cs="Times New Roman"/>
          <w:b/>
          <w:bCs/>
          <w:sz w:val="24"/>
          <w:szCs w:val="24"/>
          <w:highlight w:val="none"/>
          <w:lang w:val="en-US" w:eastAsia="zh-CN" w:bidi="ar-SA"/>
        </w:rPr>
        <w:t xml:space="preserve">平方(最终依据现场条件进行制作生产安装)。</w:t>
      </w:r>
      <w:r/>
    </w:p>
    <w:p>
      <w:pPr>
        <w:ind w:firstLine="0"/>
        <w:jc w:val="both"/>
        <w:spacing w:line="360" w:lineRule="auto"/>
        <w:widowControl w:val="off"/>
        <w:rPr>
          <w:rFonts w:hint="eastAsia" w:ascii="Times New Roman" w:hAnsi="Times New Roman" w:eastAsia="宋体" w:cs="Times New Roman"/>
          <w:color w:val="ff0000"/>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2、分类收集房满足“九有”标准设施。收集点收集容器按投放需要合理配备；</w:t>
      </w:r>
      <w:r>
        <w:rPr>
          <w:rFonts w:hint="eastAsia" w:ascii="Times New Roman" w:hAnsi="Times New Roman" w:eastAsia="宋体" w:cs="Times New Roman"/>
          <w:color w:val="auto"/>
          <w:sz w:val="24"/>
          <w:szCs w:val="24"/>
          <w:highlight w:val="none"/>
          <w:lang w:val="en-US" w:eastAsia="zh-CN" w:bidi="ar-SA"/>
        </w:rPr>
        <w:t xml:space="preserve">收集点位配置各公示牌、制度牌的张贴方便维护、更新。</w:t>
      </w:r>
      <w:r/>
    </w:p>
    <w:p>
      <w:pPr>
        <w:numPr>
          <w:ilvl w:val="0"/>
          <w:numId w:val="0"/>
        </w:numPr>
        <w:jc w:val="both"/>
        <w:spacing w:line="360" w:lineRule="auto"/>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numPr>
          <w:ilvl w:val="0"/>
          <w:numId w:val="0"/>
        </w:numPr>
        <w:jc w:val="both"/>
        <w:spacing w:line="360" w:lineRule="auto"/>
        <w:widowControl w:val="off"/>
        <w:rPr>
          <w:rFonts w:hint="default" w:ascii="仿宋" w:hAnsi="仿宋" w:eastAsia="仿宋" w:cs="仿宋"/>
          <w:bCs/>
          <w:sz w:val="28"/>
          <w:szCs w:val="28"/>
          <w:lang w:val="en-US" w:eastAsia="zh-CN" w:bidi="ar-SA"/>
        </w:rPr>
      </w:pPr>
      <w:r>
        <w:rPr>
          <w:rFonts w:hint="eastAsia" w:ascii="仿宋" w:hAnsi="仿宋" w:eastAsia="仿宋" w:cs="仿宋"/>
          <w:b/>
          <w:sz w:val="28"/>
          <w:szCs w:val="28"/>
          <w:lang w:val="en-US" w:eastAsia="zh-CN"/>
        </w:rPr>
        <w:t xml:space="preserve">3、</w:t>
      </w:r>
      <w:r>
        <w:rPr>
          <w:rFonts w:hint="eastAsia" w:ascii="仿宋" w:hAnsi="仿宋" w:eastAsia="仿宋" w:cs="仿宋"/>
          <w:b/>
          <w:sz w:val="28"/>
          <w:szCs w:val="28"/>
        </w:rPr>
        <w:t xml:space="preserve">生活垃圾分类房基础参数</w:t>
      </w:r>
      <w:r/>
    </w:p>
    <w:tbl>
      <w:tblPr>
        <w:tblStyle w:val="832"/>
        <w:tblW w:w="999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176"/>
        <w:gridCol w:w="8814"/>
      </w:tblGrid>
      <w:tr>
        <w:trPr>
          <w:jc w:val="center"/>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垃圾分类房</w:t>
            </w:r>
            <w:r/>
          </w:p>
        </w:tc>
        <w:tc>
          <w:tcPr>
            <w:tcBorders>
              <w:top w:val="single" w:color="auto" w:sz="4" w:space="0"/>
              <w:left w:val="single" w:color="auto" w:sz="4" w:space="0"/>
              <w:bottom w:val="single" w:color="auto" w:sz="4" w:space="0"/>
              <w:right w:val="single" w:color="auto" w:sz="4" w:space="0"/>
            </w:tcBorders>
            <w:tcW w:w="8814" w:type="dxa"/>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rPr>
              <w:t xml:space="preserve">1</w:t>
            </w:r>
            <w:r>
              <w:rPr>
                <w:rFonts w:hint="eastAsia" w:ascii="宋体" w:hAnsi="宋体" w:eastAsia="宋体" w:cs="宋体"/>
                <w:color w:val="000000"/>
                <w:sz w:val="24"/>
                <w:szCs w:val="24"/>
                <w:lang w:bidi="ar"/>
              </w:rPr>
              <w:t xml:space="preserve">、正面尺寸：正面尺寸4000*2</w:t>
            </w: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00*3000mm,房体净高2600mm,房体正面上方设遮阳棚,高度约430mm（招标工程量为暂定量，最终以实际现场面积计取制作)。                    结构形式：镀锌管框架结构,立柱规格为100*100*3.0mm（厚度t=3.0mm);</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地面主梁100*100*3mm镀锌管（厚度t=3.0mm,材质镀锌管)；</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地面次梁80*40*1.5mm镀锌管;（厚度t=1.5mm,材质镀锌管)</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地面铺设t≥2.0mm防锈花纹防滑钢板;</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顶框屋面主梁100*100*3mm镀锌管;（厚度t=3.0mm,材质镀锌管);</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顶框次梁80*40*1.5mm镀锌管;（厚度t=1.5mm,材质镀锌管)</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所有外漏镀锌板材及镀锌方管表面喷漆处理(防腐、防锈、美观）</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2、顶部：屋顶1mm</w:t>
            </w:r>
            <w:r>
              <w:rPr>
                <w:rFonts w:hint="eastAsia" w:ascii="宋体" w:hAnsi="宋体" w:eastAsia="宋体" w:cs="宋体"/>
                <w:color w:val="000000"/>
                <w:sz w:val="24"/>
                <w:szCs w:val="24"/>
                <w:lang w:val="en-US" w:eastAsia="zh-CN" w:bidi="ar"/>
              </w:rPr>
              <w:t xml:space="preserve">镀锌</w:t>
            </w:r>
            <w:r>
              <w:rPr>
                <w:rFonts w:hint="eastAsia" w:ascii="宋体" w:hAnsi="宋体" w:eastAsia="宋体" w:cs="宋体"/>
                <w:color w:val="000000"/>
                <w:sz w:val="24"/>
                <w:szCs w:val="24"/>
                <w:lang w:bidi="ar"/>
              </w:rPr>
              <w:t xml:space="preserve">钢板</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加20mm岩棉卷毡保温层</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铺设防水卷材，确保垃圾房不漏水，渗水。内部采用竹木纤维板</w:t>
            </w:r>
            <w:r>
              <w:rPr>
                <w:rFonts w:hint="eastAsia" w:ascii="宋体" w:hAnsi="宋体" w:eastAsia="宋体" w:cs="宋体"/>
                <w:color w:val="000000"/>
                <w:sz w:val="24"/>
                <w:szCs w:val="24"/>
                <w:lang w:bidi="ar"/>
              </w:rPr>
              <w:t xml:space="preserve">吊顶；</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墙体部分：内墙:内墙8mm厚竹木纤维板,耐火极限为2.15h,材料燃烧等级为B1级;保温隔热,传热系数为0.3-0.4W/(m.k);产品绿色环保,不含甲醛,可100%回收再利用,具有防水、耐腐蚀等效果。房内阴角加装镀锌板（喷塑）角线装饰，确保美观。</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bidi="ar"/>
              </w:rPr>
              <w:t xml:space="preserve">外墙：采用厚度16mm金属雕花板，燃烧性能为B1级阻燃，具有美观、耐酸碱、抗冲击、耐腐蚀、阻燃等效果。</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、门窗:侧面安装铝合金门,尺寸1000*2000mm,整体铝材厚度≥1.2mm,含固定装置,于门配套的相关五金件符合房屋使用寿命要求。后窗为铝合金百叶窗（壁厚符合国家规范要求）尺寸700*400mm。</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bidi="ar"/>
              </w:rPr>
              <w:t xml:space="preserve">、主体包含：不锈钢洗手池、不锈钢水龙头、吸顶灯（满足日常使用瓦数）、厨余</w:t>
            </w:r>
            <w:r>
              <w:rPr>
                <w:rStyle w:val="1187"/>
                <w:rFonts w:hint="eastAsia" w:ascii="宋体" w:hAnsi="宋体" w:eastAsia="宋体" w:cs="宋体"/>
                <w:sz w:val="24"/>
                <w:szCs w:val="24"/>
                <w:lang w:bidi="ar"/>
              </w:rPr>
              <w:t xml:space="preserve">破袋器</w:t>
            </w:r>
            <w:r>
              <w:rPr>
                <w:rFonts w:hint="eastAsia" w:ascii="宋体" w:hAnsi="宋体" w:eastAsia="宋体" w:cs="宋体"/>
                <w:color w:val="000000"/>
                <w:sz w:val="24"/>
                <w:szCs w:val="24"/>
                <w:lang w:bidi="ar"/>
              </w:rPr>
              <w:t xml:space="preserve">、冲洗水枪（满足日常使用）、水池（含拖把池及配件）、配电箱（额定电压：小型断路器DC 60V C16A/2P*1,均为国标产品,满足消防验收标准)（以上内容为基础配备，如未配备甲方有权自行购买并扣除相应违约金）</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bidi="ar"/>
              </w:rPr>
              <w:t xml:space="preserve">、投口：投口采用感应加按钮自动开启，桶满报警，单个投口尺寸：62（±2）cm（长*高），适配240L塑料垃圾。</w:t>
            </w:r>
            <w:r/>
          </w:p>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bidi="ar"/>
              </w:rPr>
              <w:t xml:space="preserve">、集中投放点标识牌及广告。</w:t>
            </w:r>
            <w:r/>
          </w:p>
          <w:p>
            <w:pPr>
              <w:pStyle w:val="838"/>
              <w:ind w:left="0" w:right="147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color w:val="000000"/>
                <w:sz w:val="24"/>
                <w:szCs w:val="24"/>
                <w:lang w:bidi="ar"/>
              </w:rPr>
              <w:t xml:space="preserve">、垃圾房外设置监控系统，可保证24小时实时监控。监控调取时间不低于7天。</w:t>
            </w:r>
            <w:r/>
          </w:p>
        </w:tc>
      </w:tr>
      <w:tr>
        <w:trPr>
          <w:jc w:val="center"/>
        </w:trPr>
        <w:tc>
          <w:tcPr>
            <w:tcBorders>
              <w:top w:val="single" w:color="auto" w:sz="4" w:space="0"/>
              <w:left w:val="single" w:color="auto" w:sz="4" w:space="0"/>
              <w:right w:val="single" w:color="auto" w:sz="4" w:space="0"/>
            </w:tcBorders>
            <w:tcW w:w="11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垃圾分类房基础设施要求</w:t>
            </w:r>
            <w:r/>
          </w:p>
        </w:tc>
        <w:tc>
          <w:tcPr>
            <w:tcBorders>
              <w:top w:val="single" w:color="auto" w:sz="4" w:space="0"/>
              <w:left w:val="single" w:color="auto" w:sz="4" w:space="0"/>
              <w:right w:val="single" w:color="auto" w:sz="4" w:space="0"/>
            </w:tcBorders>
            <w:tcW w:w="881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color w:val="000000"/>
                <w:sz w:val="24"/>
                <w:szCs w:val="24"/>
                <w:lang w:bidi="ar"/>
              </w:rPr>
              <w:t xml:space="preserve">1、长*宽*厚：面积以实际面积计取，厚度不低于10cm</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2、混凝土强度C30</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3、负责垃圾房安装过程中所产生的环境破坏（如路面、绿化等）得修复工作。</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4、负责暂定安装点位原有设施拆除堆放至招标人指定地点</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5、注意事项：使用施工护栏对施工区域进行维护，保证施工区域内外人员安全；施工区域内原有设施需要进行安全拆除并放置招标人指定地点；如需开挖需要进行树木移植，应提前联系相关部门进行报备，施工后并移回新的种植点，避免破坏施工区域内雨污水、燃气、电缆等相应内容，做好防护措施，不影响后期使用及维护。施工期间内需符合大气污染防治防控要求。</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（投标人依据现场综合考虑，结算时综合单价不予调整，工程量以现场实际完成工程量计取）</w:t>
            </w:r>
            <w:r/>
          </w:p>
        </w:tc>
      </w:tr>
      <w:tr>
        <w:trPr>
          <w:jc w:val="center"/>
        </w:trPr>
        <w:tc>
          <w:tcPr>
            <w:tcBorders>
              <w:top w:val="single" w:color="auto" w:sz="4" w:space="0"/>
              <w:left w:val="single" w:color="auto" w:sz="4" w:space="0"/>
              <w:right w:val="single" w:color="auto" w:sz="4" w:space="0"/>
            </w:tcBorders>
            <w:tcW w:w="11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给水要求</w:t>
            </w:r>
            <w:r/>
          </w:p>
        </w:tc>
        <w:tc>
          <w:tcPr>
            <w:tcBorders>
              <w:top w:val="single" w:color="auto" w:sz="4" w:space="0"/>
              <w:left w:val="single" w:color="auto" w:sz="4" w:space="0"/>
              <w:right w:val="single" w:color="auto" w:sz="4" w:space="0"/>
            </w:tcBorders>
            <w:tcW w:w="881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color w:val="000000"/>
                <w:sz w:val="24"/>
                <w:szCs w:val="24"/>
                <w:lang w:bidi="ar"/>
              </w:rPr>
              <w:t xml:space="preserve">1、PPRφ20给水管及配件，包含部分开挖、保温敷设安装、回填、恢复地面（如有）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（投标人依据现场综合考虑，结算时综合单价不予调整，工程量以现场实际完成工程量计取）</w:t>
            </w:r>
            <w:r/>
          </w:p>
        </w:tc>
      </w:tr>
      <w:tr>
        <w:trPr>
          <w:jc w:val="center"/>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排水要求</w:t>
            </w:r>
            <w:r/>
          </w:p>
        </w:tc>
        <w:tc>
          <w:tcPr>
            <w:tcBorders>
              <w:top w:val="single" w:color="auto" w:sz="4" w:space="0"/>
              <w:left w:val="single" w:color="auto" w:sz="4" w:space="0"/>
              <w:bottom w:val="single" w:color="auto" w:sz="4" w:space="0"/>
              <w:right w:val="single" w:color="auto" w:sz="4" w:space="0"/>
            </w:tcBorders>
            <w:tcW w:w="881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color w:val="000000"/>
                <w:sz w:val="24"/>
                <w:szCs w:val="24"/>
                <w:lang w:bidi="ar"/>
              </w:rPr>
              <w:t xml:space="preserve">1、PVCφ75排水管及配件，包含部分开挖、敷设安装、回填、恢复地面（如有）</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（投标人依据现场综合考虑，结算时综合单价不予调整，工程量以现场实际完成工程量计取）</w:t>
            </w:r>
            <w:r/>
          </w:p>
        </w:tc>
      </w:tr>
      <w:tr>
        <w:trPr>
          <w:jc w:val="center"/>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lang w:bidi="ar"/>
              </w:rPr>
              <w:t xml:space="preserve">监控要求</w:t>
            </w:r>
            <w:r/>
          </w:p>
        </w:tc>
        <w:tc>
          <w:tcPr>
            <w:tcBorders>
              <w:top w:val="single" w:color="auto" w:sz="4" w:space="0"/>
              <w:left w:val="single" w:color="auto" w:sz="4" w:space="0"/>
              <w:bottom w:val="single" w:color="auto" w:sz="4" w:space="0"/>
              <w:right w:val="single" w:color="auto" w:sz="4" w:space="0"/>
            </w:tcBorders>
            <w:tcW w:w="8814" w:type="dxa"/>
            <w:vAlign w:val="center"/>
            <w:textDirection w:val="lrTb"/>
            <w:noWrap w:val="false"/>
          </w:tcPr>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采用深度学习硬件及算法，支持越界侦测，区域入侵侦测，进入区域侦测和离开区域侦测，支持联动声音报警</w:t>
            </w:r>
            <w:r/>
          </w:p>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最高分辨率可达2560×1440 @25 fps，在该分辨率下可输出实时图像</w:t>
            </w:r>
            <w:r/>
          </w:p>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支持背光补偿，强光抑制，3D数字降噪，120dB宽动态</w:t>
            </w:r>
            <w:r/>
          </w:p>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支持萤石平台接入</w:t>
            </w:r>
            <w:r/>
          </w:p>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智能补光，支持白光/红外双补光，红外光最远可达50m，白光最远可达30m</w:t>
            </w:r>
            <w:r/>
          </w:p>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支持最大256 GB MicroSD/MicroSDHC/MicroSDXC卡本地存储</w:t>
            </w:r>
            <w:r/>
          </w:p>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1个内置麦克风，1个内置扬声器，支持双向语音对讲</w:t>
            </w:r>
            <w:r/>
          </w:p>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支持1路报警输入，1路报警输出（报警输出最大支持AC24 V/DC24 V，1 A），1路音频输入，1路音频输出</w:t>
            </w:r>
            <w:r/>
          </w:p>
          <w:p>
            <w:pPr>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 xml:space="preserve">支持LTE-TDD/LTE-FDD 4G无线网络传输</w:t>
            </w:r>
            <w:r/>
          </w:p>
          <w:p>
            <w:pPr>
              <w:spacing w:line="360" w:lineRule="auto"/>
              <w:rPr>
                <w:rFonts w:hint="eastAsia" w:ascii="宋体" w:hAnsi="宋体" w:eastAsia="宋体" w:cs="宋体"/>
                <w:sz w:val="24"/>
                <w:szCs w:val="24"/>
              </w:rPr>
            </w:pPr>
            <w:r>
              <w:rPr>
                <w:rFonts w:hint="eastAsia" w:ascii="宋体" w:hAnsi="宋体" w:eastAsia="宋体" w:cs="宋体"/>
                <w:color w:val="333333"/>
                <w:sz w:val="24"/>
                <w:szCs w:val="24"/>
                <w:shd w:val="clear" w:color="auto" w:fill="ffffff"/>
              </w:rPr>
              <w:t xml:space="preserve">符合IP66防尘防水设计，可靠性高</w:t>
            </w:r>
            <w:r/>
          </w:p>
        </w:tc>
      </w:tr>
    </w:tbl>
    <w:p>
      <w:pPr>
        <w:rPr>
          <w:rFonts w:hint="eastAsia" w:ascii="仿宋" w:hAnsi="仿宋" w:eastAsia="仿宋"/>
          <w:color w:val="000000"/>
          <w:sz w:val="28"/>
          <w:szCs w:val="28"/>
        </w:rPr>
      </w:pPr>
      <w:r>
        <w:rPr>
          <w:rFonts w:hint="eastAsia" w:ascii="仿宋" w:hAnsi="仿宋" w:eastAsia="仿宋"/>
          <w:color w:val="000000"/>
          <w:sz w:val="28"/>
          <w:szCs w:val="28"/>
        </w:rPr>
      </w:r>
      <w:r/>
    </w:p>
    <w:p>
      <w:pPr>
        <w:pStyle w:val="833"/>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mc:AlternateContent>
          <mc:Choice Requires="wpg">
            <w:drawing>
              <wp:inline xmlns:wp="http://schemas.openxmlformats.org/drawingml/2006/wordprocessingDrawing" distT="0" distB="0" distL="0" distR="0">
                <wp:extent cx="8639175" cy="5391150"/>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9"/>
                        <a:stretch/>
                      </pic:blipFill>
                      <pic:spPr bwMode="auto">
                        <a:xfrm rot="5400000">
                          <a:off x="0" y="0"/>
                          <a:ext cx="8639175" cy="5391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80.2pt;height:424.5pt;mso-wrap-distance-left:0.0pt;mso-wrap-distance-top:0.0pt;mso-wrap-distance-right:0.0pt;mso-wrap-distance-bottom:0.0pt;rotation:90;" stroked="f">
                <v:path textboxrect="0,0,0,0"/>
                <v:imagedata r:id="rId19" o:title=""/>
              </v:shape>
            </w:pict>
          </mc:Fallback>
        </mc:AlternateContent>
      </w:r>
      <w:r/>
    </w:p>
    <w:tbl>
      <w:tblPr>
        <w:tblStyle w:val="832"/>
        <w:tblW w:w="868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240"/>
        <w:gridCol w:w="1512"/>
        <w:gridCol w:w="5930"/>
      </w:tblGrid>
      <w:tr>
        <w:trPr>
          <w:trHeight w:val="420"/>
        </w:trPr>
        <w:tc>
          <w:tcPr>
            <w:gridSpan w:val="3"/>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8682"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b/>
                <w:i w:val="0"/>
                <w:color w:val="000000"/>
                <w:sz w:val="32"/>
                <w:szCs w:val="32"/>
                <w:u w:val="none"/>
                <w:lang w:val="en-US" w:eastAsia="zh-CN" w:bidi="ar"/>
              </w:rPr>
              <w:t xml:space="preserve">第四批提升改造收集亭明细</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街道</w:t>
            </w:r>
            <w:r/>
          </w:p>
        </w:tc>
        <w:tc>
          <w:tcPr>
            <w:shd w:val="clear" w:color="auto" w:fill="auto"/>
            <w:tcBorders>
              <w:top w:val="non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小区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康馨园南区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康馨园北区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传世经典</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阳光世纪苑</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心海湾</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高盛汉郡</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蓝庭国际</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锦凤溪</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高盛唐郡</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公园里</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吾悦华府四期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泉城花都A区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幸福家园东区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文泽园</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泉城B</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鸿福壹号</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卧龙城</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锦世豪庭</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德克城</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东方御景</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锦绣翰林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博文阳光城</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博文阳光城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幸福家园 西区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eastAsia" w:ascii="宋体" w:hAnsi="宋体" w:eastAsia="宋体" w:cs="宋体"/>
                <w:i w:val="0"/>
                <w:color w:val="000000"/>
                <w:sz w:val="22"/>
                <w:szCs w:val="22"/>
                <w:u w:val="none"/>
              </w:rPr>
              <w:suppressLineNumbers w:val="0"/>
            </w:pPr>
            <w:r>
              <w:rPr>
                <w:rFonts w:hint="eastAsia" w:ascii="宋体" w:hAnsi="宋体" w:eastAsia="宋体" w:cs="宋体"/>
                <w:i w:val="0"/>
                <w:color w:val="000000"/>
                <w:sz w:val="22"/>
                <w:szCs w:val="22"/>
                <w:u w:val="none"/>
                <w:lang w:val="en-US" w:eastAsia="zh-CN" w:bidi="ar"/>
              </w:rPr>
              <w:t xml:space="preserve">大泉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高盛汉郡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40" w:type="dxa"/>
            <w:vAlign w:val="center"/>
            <w:textDirection w:val="lrTb"/>
            <w:noWrap w:val="false"/>
          </w:tcPr>
          <w:p>
            <w:pPr>
              <w:jc w:val="center"/>
              <w:keepLines w:val="0"/>
              <w:keepNext w:val="0"/>
              <w:widowControl/>
              <w:rPr>
                <w:rFonts w:hint="default" w:ascii="宋体" w:hAnsi="宋体" w:eastAsia="宋体" w:cs="宋体"/>
                <w:i w:val="0"/>
                <w:color w:val="000000"/>
                <w:sz w:val="22"/>
                <w:szCs w:val="22"/>
                <w:u w:val="none"/>
                <w:lang w:val="en-US" w:eastAsia="zh-CN" w:bidi="ar"/>
              </w:rPr>
              <w:suppressLineNumbers w:val="0"/>
            </w:pPr>
            <w:r>
              <w:rPr>
                <w:rFonts w:hint="eastAsia" w:ascii="宋体" w:hAnsi="宋体" w:cs="宋体"/>
                <w:i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12" w:type="dxa"/>
            <w:vAlign w:val="center"/>
            <w:textDirection w:val="lrTb"/>
            <w:noWrap w:val="false"/>
          </w:tcPr>
          <w:p>
            <w:pPr>
              <w:jc w:val="center"/>
              <w:keepLines w:val="0"/>
              <w:keepNext w:val="0"/>
              <w:widowControl/>
              <w:rPr>
                <w:rFonts w:hint="default" w:ascii="宋体" w:hAnsi="宋体" w:eastAsia="宋体" w:cs="宋体"/>
                <w:i w:val="0"/>
                <w:color w:val="000000"/>
                <w:sz w:val="22"/>
                <w:szCs w:val="22"/>
                <w:u w:val="none"/>
                <w:lang w:val="en-US" w:eastAsia="zh-CN" w:bidi="ar"/>
              </w:rPr>
              <w:suppressLineNumbers w:val="0"/>
            </w:pPr>
            <w:r>
              <w:rPr>
                <w:rFonts w:hint="eastAsia" w:ascii="宋体" w:hAnsi="宋体" w:cs="宋体"/>
                <w:i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其他点位6</w:t>
            </w:r>
            <w:r/>
          </w:p>
        </w:tc>
      </w:tr>
    </w:tbl>
    <w:p>
      <w:pPr>
        <w:pStyle w:val="833"/>
        <w:rPr>
          <w:rFonts w:hint="default" w:eastAsia="宋体"/>
          <w:sz w:val="24"/>
          <w:szCs w:val="24"/>
          <w:lang w:val="en-US" w:eastAsia="zh-CN"/>
        </w:rPr>
      </w:pPr>
      <w:r>
        <w:rPr>
          <w:rFonts w:hint="eastAsia"/>
          <w:sz w:val="24"/>
          <w:szCs w:val="24"/>
          <w:lang w:eastAsia="zh-CN"/>
        </w:rPr>
        <w:t xml:space="preserve">注</w:t>
      </w:r>
      <w:r>
        <w:rPr>
          <w:rFonts w:hint="eastAsia"/>
          <w:sz w:val="24"/>
          <w:szCs w:val="24"/>
          <w:lang w:val="en-US" w:eastAsia="zh-CN"/>
        </w:rPr>
        <w:t xml:space="preserve">:最终依据现场实际情况指定垃圾房尺寸及位置，</w:t>
      </w:r>
      <w:r/>
    </w:p>
    <w:p>
      <w:pPr>
        <w:ind w:right="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、项目实施要求</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垃圾分类收集点的外观和颜色由招标人确认，中标后，中标人应向采购人确认垃圾分类收集点外观和颜色，确认无误后方可投入生产，中标人提供所投产品必须是全新、合格产品，符合采购人需求，完全符合国家规定的质量标准、厂方的标准以及招标文件对所投产品的标准要求。设备到达安装现场（具体以采购人指定地点为准）后，中标人应提供详细发货清单，由中标人和采购人共同验货、检查货物数量。如果货物质量或技术规格与合同不符，或货物有明显损坏，中标人必须更换，采购人有权提出索赔。验货合格后，双方共同签署设备合格证明。</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焊接技术要求：对口质量要求内壁齐平，如有错口，错口值不应超过壁厚的10%，且不大于1cm，对口应将焊口表面、外壁的油、漆、垢及氧化层等清理干净，直至露出金属光泽。采购人在制作施工中随时抽查，如发现工艺达不到验收标准或合同规定的性能指标，中标人必须更换，并且赔偿由此给采购人造成的损失。</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打磨技术要求：被打磨表面要求平滑，无明显突出物；不伤母材，以母材的被去除量不超过0.2mm为标准，被打磨部分表面纹路要求一致，严禁无规律打磨。对焊接飞溅物打磨要求打磨出金属光泽，保证焊接区域没有飞溅物；打磨纹路与焊缝方向平行。</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喷漆技术要求：喷漆表面要求颜色相同，无色差；光泽度要求一样，不允许朋光泽的差别，目测为准（产品距检查者50cm），色差在1.5△E以内为合格。厚度漆厚度要均匀，漆膜附着力产品不允许有漆膜剥离情况。表面污浊不允许有，不可脱落，刮（划）痕整个喷漆面不允许有，漏喷不允许有。漆膜表面光滑平整，无塌陷、无暗坑裂缝、无流坠、无明显喷涂的大点，外表没有或者极少数小颗粒。</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应列出详细项目实施方案，包含送货方式、安装计划、验收方案，必须指派具有丰富经验的安装人员安装设备。投标人在中标后，应允许采购人的工作人员自实施工作开始即参与本项目的安装调试等工作并在实施方案中提出协同工作计划。</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6、中标人应服从采购人的管理，保证产品及人身安全，只能在项目实施现场操作，不得进入采购人其他场所，不得损坏采购人财物，如有损失由中标人照价赔偿。</w:t>
      </w:r>
      <w:r/>
    </w:p>
    <w:p>
      <w:pPr>
        <w:numPr>
          <w:ilvl w:val="0"/>
          <w:numId w:val="0"/>
        </w:numPr>
        <w:ind w:right="1440"/>
        <w:jc w:val="both"/>
        <w:pageBreakBefore w:val="0"/>
        <w:spacing w:after="12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四、售后服务及技术培训要求</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1、免费质量保证期为交付验收合格之日起不少于2年。配套门窗保修期不少于 1 年。</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2、质保期内，如设备或零部件因非人为因素出现故障而造成短期停用时，则质保期和免费维修期相应顺延。如停用时间累计超过60天则质保期重新计算。</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3、应商提供及时响应服务，对甲方或使用方的服务指示信息按要求24小时内响应，一般问题在72小时之内解决，如遇重大问题或其他暂时无法迅速解决的问题在一周内解决。</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4、质保期内，发现质量问题，供应商负责修理、更换，由此发生的一切费用由供应商负责：如因使用不当，人为破坏造成的问题，供应商负责维复，只收取材料、人工成本费用。</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5、保期内，供应商保证每年至少1 次的定期检查维修，除不可抗力和使用方责任外，费用全部由我司承担。质保期内产品质量经权威机构鉴定为不合格质量要求的，按合同协议承担违约责任。我司为用户提供咨询服务。</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6、及时提供非产品本身质量引起的其它意外故障的处理。</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7、在保修期内，免费负责修理和更换任何由于生活垃圾集中收集点自身的质量问题造成的损坏及故障。检修后，我方将故障详情，故障原因报告给用户。明确解决措施，完成修理所需时间及恢复正常运行日期。</w:t>
      </w:r>
      <w:r/>
    </w:p>
    <w:p>
      <w:pPr>
        <w:numPr>
          <w:ilvl w:val="0"/>
          <w:numId w:val="0"/>
        </w:numPr>
        <w:ind w:right="1440"/>
        <w:jc w:val="both"/>
        <w:pageBreakBefore w:val="0"/>
        <w:spacing w:after="12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五、验收标准（验收要求、验收标准和程序）要求：</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1.技术标准按国家、行业的相关标准及双方签订的《采购合同》执行。</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2.投标方所提供的验收资料应正确、完整，如不能满足要求，由投标方按照招标方要求修正。</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3.验收在采购人指定地进行，投标方派人员参加；验收项目按照技术要求执行。</w:t>
      </w:r>
      <w:r/>
    </w:p>
    <w:p>
      <w:pPr>
        <w:ind w:right="0" w:firstLine="48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4.按照投标人实际安装的数量结果，采购人予以即时</w:t>
      </w:r>
      <w:r>
        <w:rPr>
          <w:rFonts w:hint="eastAsia" w:ascii="宋体" w:hAnsi="宋体" w:cs="宋体"/>
          <w:b/>
          <w:bCs/>
          <w:color w:val="auto"/>
          <w:sz w:val="24"/>
          <w:szCs w:val="24"/>
          <w:highlight w:val="none"/>
          <w:lang w:val="en-US" w:eastAsia="zh-CN"/>
        </w:rPr>
        <w:t xml:space="preserve">审计</w:t>
      </w:r>
      <w:r>
        <w:rPr>
          <w:rFonts w:hint="eastAsia" w:ascii="宋体" w:hAnsi="宋体" w:eastAsia="宋体" w:cs="宋体"/>
          <w:b/>
          <w:bCs/>
          <w:color w:val="auto"/>
          <w:sz w:val="24"/>
          <w:szCs w:val="24"/>
          <w:highlight w:val="none"/>
          <w:lang w:val="en-US" w:eastAsia="zh-CN"/>
        </w:rPr>
        <w:t xml:space="preserve">结算</w:t>
      </w:r>
      <w:r>
        <w:rPr>
          <w:rFonts w:hint="eastAsia" w:ascii="宋体" w:hAnsi="宋体" w:cs="宋体"/>
          <w:b/>
          <w:bCs/>
          <w:color w:val="auto"/>
          <w:sz w:val="24"/>
          <w:szCs w:val="24"/>
          <w:highlight w:val="none"/>
          <w:lang w:val="en-US" w:eastAsia="zh-CN"/>
        </w:rPr>
        <w:t xml:space="preserve">,审计费由投标人支付</w:t>
      </w:r>
      <w:r>
        <w:rPr>
          <w:rFonts w:hint="eastAsia" w:ascii="宋体" w:hAnsi="宋体" w:eastAsia="宋体" w:cs="宋体"/>
          <w:b/>
          <w:bCs/>
          <w:color w:val="auto"/>
          <w:sz w:val="24"/>
          <w:szCs w:val="24"/>
          <w:highlight w:val="none"/>
          <w:lang w:val="en-US" w:eastAsia="zh-CN"/>
        </w:rPr>
        <w:t xml:space="preserve">。</w:t>
      </w:r>
      <w:r/>
    </w:p>
    <w:p>
      <w:pPr>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、其他要求</w:t>
      </w:r>
      <w:r>
        <w:rPr>
          <w:rFonts w:hint="eastAsia" w:ascii="宋体" w:hAnsi="宋体" w:eastAsia="宋体" w:cs="宋体"/>
          <w:b/>
          <w:color w:val="auto"/>
          <w:sz w:val="24"/>
          <w:szCs w:val="24"/>
          <w:highlight w:val="none"/>
          <w:lang w:val="en-US" w:eastAsia="zh-CN"/>
        </w:rPr>
        <w:t xml:space="preserve">及提示</w:t>
      </w:r>
      <w:r>
        <w:rPr>
          <w:rFonts w:hint="eastAsia" w:ascii="宋体" w:hAnsi="宋体" w:eastAsia="宋体" w:cs="宋体"/>
          <w:b/>
          <w:color w:val="auto"/>
          <w:sz w:val="24"/>
          <w:szCs w:val="24"/>
          <w:highlight w:val="none"/>
        </w:rPr>
        <w:t xml:space="preserve">：</w:t>
      </w:r>
      <w:r/>
    </w:p>
    <w:p>
      <w:pPr>
        <w:ind w:righ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1、验收合格并不免除在质保期内中标人应负的责任。</w:t>
      </w:r>
      <w:r/>
    </w:p>
    <w:p>
      <w:pPr>
        <w:ind w:right="0" w:firstLine="48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lang w:val="en-US" w:eastAsia="zh-CN"/>
        </w:rPr>
        <w:t xml:space="preserve">2、其它要求见招标文件第五章《拟签订的合同文本》</w:t>
      </w:r>
      <w:r>
        <w:rPr>
          <w:rFonts w:hint="eastAsia" w:ascii="宋体" w:hAnsi="宋体" w:eastAsia="宋体" w:cs="宋体"/>
          <w:color w:val="auto"/>
          <w:sz w:val="28"/>
          <w:szCs w:val="28"/>
          <w:highlight w:val="none"/>
          <w:lang w:val="en-US" w:eastAsia="zh-CN"/>
        </w:rPr>
        <w:t xml:space="preserve">。</w:t>
      </w:r>
      <w:r/>
    </w:p>
    <w:p>
      <w:pPr>
        <w:keepLines w:val="0"/>
        <w:keepNext w:val="0"/>
        <w:pageBreakBefore w:val="0"/>
        <w:spacing w:line="360" w:lineRule="auto"/>
        <w:widowControl w:val="off"/>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r>
      <w:r/>
    </w:p>
    <w:p>
      <w:pPr>
        <w:jc w:val="center"/>
        <w:spacing w:line="360" w:lineRule="auto"/>
        <w:rPr>
          <w:rFonts w:hint="eastAsia" w:ascii="宋体" w:hAnsi="宋体" w:eastAsia="宋体" w:cs="宋体"/>
          <w:b/>
          <w:bCs/>
          <w:color w:val="000000"/>
          <w:sz w:val="44"/>
          <w:szCs w:val="44"/>
          <w:highlight w:val="none"/>
        </w:rPr>
      </w:pPr>
      <w:r>
        <w:rPr>
          <w:rFonts w:hint="eastAsia" w:ascii="仿宋" w:hAnsi="仿宋" w:eastAsia="仿宋" w:cs="仿宋"/>
          <w:b/>
          <w:bCs/>
          <w:color w:val="000000"/>
          <w:sz w:val="32"/>
          <w:szCs w:val="32"/>
          <w:highlight w:val="none"/>
          <w:lang w:val="en-US" w:eastAsia="zh-CN"/>
        </w:rPr>
        <w:br w:type="page" w:clear="all"/>
      </w:r>
      <w:r>
        <w:rPr>
          <w:rFonts w:hint="eastAsia" w:ascii="宋体" w:hAnsi="宋体" w:eastAsia="宋体" w:cs="宋体"/>
          <w:b/>
          <w:bCs/>
          <w:color w:val="000000"/>
          <w:sz w:val="40"/>
          <w:szCs w:val="40"/>
          <w:highlight w:val="none"/>
        </w:rPr>
        <w:t xml:space="preserve">第七章  投标文件相关格式</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目录</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投标函</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法定代表人授权书</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开标一览表</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分项价格表</w:t>
      </w:r>
      <w:r/>
    </w:p>
    <w:p>
      <w:pPr>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具备履行合同所必需的设备和专业技术能力的</w:t>
      </w:r>
      <w:r>
        <w:rPr>
          <w:rFonts w:hint="eastAsia" w:ascii="仿宋" w:hAnsi="仿宋" w:eastAsia="仿宋" w:cs="仿宋"/>
          <w:color w:val="000000"/>
          <w:sz w:val="28"/>
          <w:szCs w:val="28"/>
          <w:highlight w:val="none"/>
          <w:lang w:val="en-US" w:eastAsia="zh-CN"/>
        </w:rPr>
        <w:t xml:space="preserve">证明材料</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投标人参加政府采购活动前3年内在经营活动中没有重大违法记录的书面声明</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偏离表</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中小企业声明函</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残疾人福利性单位声明函</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预付款保函支付条款</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br w:type="page" w:clear="all"/>
      </w:r>
      <w:r>
        <w:rPr>
          <w:rFonts w:hint="eastAsia" w:ascii="仿宋" w:hAnsi="仿宋" w:eastAsia="仿宋" w:cs="仿宋"/>
          <w:b/>
          <w:bCs/>
          <w:color w:val="000000"/>
          <w:sz w:val="32"/>
          <w:szCs w:val="32"/>
          <w:highlight w:val="none"/>
        </w:rPr>
        <w:t xml:space="preserve">1</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rPr>
        <w:t xml:space="preserve">投标函</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eastAsia="zh-CN"/>
        </w:rPr>
        <w:t xml:space="preserve">江苏泓科工程咨询集团有限公司</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w:t>
      </w:r>
      <w:r>
        <w:rPr>
          <w:rFonts w:hint="eastAsia" w:ascii="仿宋" w:hAnsi="仿宋" w:eastAsia="仿宋" w:cs="仿宋"/>
          <w:color w:val="000000"/>
          <w:sz w:val="28"/>
          <w:szCs w:val="28"/>
          <w:highlight w:val="none"/>
          <w:u w:val="single"/>
        </w:rPr>
        <w:t xml:space="preserve">2025年贾汪城区垃圾分类收集房采购项目</w:t>
      </w:r>
      <w:r>
        <w:rPr>
          <w:rFonts w:hint="eastAsia" w:ascii="仿宋" w:hAnsi="仿宋" w:eastAsia="仿宋" w:cs="仿宋"/>
          <w:color w:val="000000"/>
          <w:sz w:val="28"/>
          <w:szCs w:val="28"/>
          <w:highlight w:val="none"/>
        </w:rPr>
        <w:t xml:space="preserve">[项目编号：JSZC-320305-HKJT-G2025-0021]招标文件，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代表我方______________（投标人的名称）全权处理本次投标的有关事宜。</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据此函，投标人承诺并同意如下： </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投标人唯一投标报价见《开标一览表》。</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投标人将按招标文件的规定履行合同责任和义务。</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投标人已详细审查全部招标文件，包括第[插入编号] [补遗书][如果有的话]。投标人完全理解并同意放弃对这方面有不明及误解的权力。</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投标有效期为90天。</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投标人同意提供按照贵方可能要求的与其投标有关的一切数据或资料，完全理解贵方不一定接受最低价的投标或收到的任何投标。</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eastAsia="zh-CN"/>
        </w:rPr>
        <w:t xml:space="preserve">、江苏泓科工程咨询集团有限公司</w:t>
      </w:r>
      <w:r>
        <w:rPr>
          <w:rFonts w:hint="eastAsia" w:ascii="仿宋" w:hAnsi="仿宋" w:eastAsia="仿宋" w:cs="仿宋"/>
          <w:color w:val="000000"/>
          <w:sz w:val="28"/>
          <w:szCs w:val="28"/>
          <w:highlight w:val="none"/>
        </w:rPr>
        <w:t xml:space="preserve">有权将我单位本项目的《开标一览表》和《分项价格表》予以公示，公示的方式由</w:t>
      </w:r>
      <w:r>
        <w:rPr>
          <w:rFonts w:hint="eastAsia" w:ascii="仿宋" w:hAnsi="仿宋" w:eastAsia="仿宋" w:cs="仿宋"/>
          <w:color w:val="000000"/>
          <w:sz w:val="28"/>
          <w:szCs w:val="28"/>
          <w:highlight w:val="none"/>
          <w:lang w:eastAsia="zh-CN"/>
        </w:rPr>
        <w:t xml:space="preserve">江苏泓科工程咨询集团有限公司</w:t>
      </w:r>
      <w:r>
        <w:rPr>
          <w:rFonts w:hint="eastAsia" w:ascii="仿宋" w:hAnsi="仿宋" w:eastAsia="仿宋" w:cs="仿宋"/>
          <w:color w:val="000000"/>
          <w:sz w:val="28"/>
          <w:szCs w:val="28"/>
          <w:highlight w:val="none"/>
        </w:rPr>
        <w:t xml:space="preserve">确定。如我单位被确定为中标、成交供应商，</w:t>
      </w:r>
      <w:r>
        <w:rPr>
          <w:rFonts w:hint="eastAsia" w:ascii="仿宋" w:hAnsi="仿宋" w:eastAsia="仿宋" w:cs="仿宋"/>
          <w:color w:val="000000"/>
          <w:sz w:val="28"/>
          <w:szCs w:val="28"/>
          <w:highlight w:val="none"/>
          <w:lang w:eastAsia="zh-CN"/>
        </w:rPr>
        <w:t xml:space="preserve">江苏泓科工程咨询集团有限公司</w:t>
      </w:r>
      <w:r>
        <w:rPr>
          <w:rFonts w:hint="eastAsia" w:ascii="仿宋" w:hAnsi="仿宋" w:eastAsia="仿宋" w:cs="仿宋"/>
          <w:color w:val="000000"/>
          <w:sz w:val="28"/>
          <w:szCs w:val="28"/>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与本投标有关的一切正式往来信函请寄：</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传真： </w:t>
      </w:r>
      <w:r/>
    </w:p>
    <w:p>
      <w:pPr>
        <w:ind w:firstLine="300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（盖电子签章）</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p>
    <w:p>
      <w:pPr>
        <w:ind w:firstLine="312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ind w:firstLine="312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61"/>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922"/>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2</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rPr>
        <w:t xml:space="preserve">法定代表人授权书</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委托人：</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地  址：</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法定代表人：               职务：</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统一社会信用代码：</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受托人：                   性别：男（女）</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年龄：  岁                 民族</w:t>
      </w:r>
      <w:r>
        <w:rPr>
          <w:rFonts w:hint="eastAsia" w:ascii="仿宋" w:hAnsi="仿宋" w:eastAsia="仿宋" w:cs="仿宋"/>
          <w:bCs/>
          <w:color w:val="000000"/>
          <w:sz w:val="28"/>
          <w:szCs w:val="28"/>
          <w:highlight w:val="none"/>
          <w:lang w:eastAsia="zh-CN"/>
        </w:rPr>
        <w:t xml:space="preserve">：</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职务：</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身份证号：</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联系方式（手机号）：</w:t>
      </w:r>
      <w:r/>
    </w:p>
    <w:p>
      <w:pPr>
        <w:ind w:firstLine="48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兹委托（       ）全权代表我企业（公司）参与（</w:t>
      </w:r>
      <w:r>
        <w:rPr>
          <w:rFonts w:hint="eastAsia" w:ascii="仿宋" w:hAnsi="仿宋" w:eastAsia="仿宋" w:cs="仿宋"/>
          <w:color w:val="000000"/>
          <w:sz w:val="28"/>
          <w:szCs w:val="28"/>
          <w:highlight w:val="none"/>
          <w:u w:val="single"/>
          <w:lang w:eastAsia="zh-CN"/>
        </w:rPr>
        <w:t xml:space="preserve">2025年贾汪城区垃圾分类收集房采购项目</w:t>
      </w:r>
      <w:r>
        <w:rPr>
          <w:rFonts w:hint="eastAsia" w:ascii="仿宋" w:hAnsi="仿宋" w:eastAsia="仿宋" w:cs="仿宋"/>
          <w:bCs/>
          <w:color w:val="000000"/>
          <w:sz w:val="28"/>
          <w:szCs w:val="28"/>
          <w:highlight w:val="none"/>
        </w:rPr>
        <w:t xml:space="preserve">）项目（项目编号：JSZC-320305-HKJT-G2025-0021）的招、投标活动及签订合同。（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特此授权委托。</w:t>
      </w:r>
      <w:r/>
    </w:p>
    <w:p>
      <w:pPr>
        <w:ind w:firstLine="630"/>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委托人（</w:t>
      </w:r>
      <w:r>
        <w:rPr>
          <w:rFonts w:hint="eastAsia" w:ascii="仿宋" w:hAnsi="仿宋" w:eastAsia="仿宋" w:cs="仿宋"/>
          <w:color w:val="000000"/>
          <w:sz w:val="28"/>
          <w:szCs w:val="28"/>
          <w:highlight w:val="none"/>
        </w:rPr>
        <w:t xml:space="preserve">电子签章</w:t>
      </w:r>
      <w:r>
        <w:rPr>
          <w:rFonts w:hint="eastAsia" w:ascii="仿宋" w:hAnsi="仿宋" w:eastAsia="仿宋" w:cs="仿宋"/>
          <w:bCs/>
          <w:color w:val="000000"/>
          <w:sz w:val="28"/>
          <w:szCs w:val="28"/>
          <w:highlight w:val="none"/>
        </w:rPr>
        <w:t xml:space="preserve">）：                  受托人（签字或</w:t>
      </w:r>
      <w:r>
        <w:rPr>
          <w:rFonts w:hint="eastAsia" w:ascii="仿宋" w:hAnsi="仿宋" w:eastAsia="仿宋" w:cs="仿宋"/>
          <w:color w:val="000000"/>
          <w:sz w:val="28"/>
          <w:szCs w:val="28"/>
          <w:highlight w:val="none"/>
        </w:rPr>
        <w:t xml:space="preserve">签章</w:t>
      </w:r>
      <w:r>
        <w:rPr>
          <w:rFonts w:hint="eastAsia" w:ascii="仿宋" w:hAnsi="仿宋" w:eastAsia="仿宋" w:cs="仿宋"/>
          <w:bCs/>
          <w:color w:val="000000"/>
          <w:sz w:val="28"/>
          <w:szCs w:val="28"/>
          <w:highlight w:val="none"/>
        </w:rPr>
        <w:t xml:space="preserve">）：</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法定代表人（签字或</w:t>
      </w:r>
      <w:r>
        <w:rPr>
          <w:rFonts w:hint="eastAsia" w:ascii="仿宋" w:hAnsi="仿宋" w:eastAsia="仿宋" w:cs="仿宋"/>
          <w:color w:val="000000"/>
          <w:sz w:val="28"/>
          <w:szCs w:val="28"/>
          <w:highlight w:val="none"/>
        </w:rPr>
        <w:t xml:space="preserve">电子签章</w:t>
      </w:r>
      <w:r>
        <w:rPr>
          <w:rFonts w:hint="eastAsia" w:ascii="仿宋" w:hAnsi="仿宋" w:eastAsia="仿宋" w:cs="仿宋"/>
          <w:bCs/>
          <w:color w:val="000000"/>
          <w:sz w:val="28"/>
          <w:szCs w:val="28"/>
          <w:highlight w:val="none"/>
        </w:rPr>
        <w:t xml:space="preserve">）： </w:t>
      </w:r>
      <w:r/>
    </w:p>
    <w:p>
      <w:pPr>
        <w:ind w:firstLine="720"/>
        <w:jc w:val="right"/>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年   月   日 </w:t>
      </w:r>
      <w:r/>
    </w:p>
    <w:p>
      <w:pPr>
        <w:spacing w:line="36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lang w:eastAsia="zh-CN"/>
        </w:rPr>
        <w:t xml:space="preserve">（</w:t>
      </w:r>
      <w:r>
        <w:rPr>
          <w:rFonts w:hint="eastAsia" w:ascii="仿宋" w:hAnsi="仿宋" w:eastAsia="仿宋" w:cs="仿宋"/>
          <w:bCs/>
          <w:color w:val="000000"/>
          <w:sz w:val="28"/>
          <w:szCs w:val="28"/>
          <w:highlight w:val="none"/>
        </w:rPr>
        <w:t xml:space="preserve">受托人身份证原件扫描件附后</w:t>
      </w:r>
      <w:r>
        <w:rPr>
          <w:rFonts w:hint="eastAsia" w:ascii="仿宋" w:hAnsi="仿宋" w:eastAsia="仿宋" w:cs="仿宋"/>
          <w:bCs/>
          <w:color w:val="000000"/>
          <w:sz w:val="28"/>
          <w:szCs w:val="28"/>
          <w:highlight w:val="none"/>
          <w:lang w:eastAsia="zh-CN"/>
        </w:rPr>
        <w:t xml:space="preserve">）</w:t>
      </w:r>
      <w:r/>
    </w:p>
    <w:p>
      <w:pPr>
        <w:spacing w:line="360" w:lineRule="auto"/>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spacing w:line="360" w:lineRule="auto"/>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r>
      <w:r/>
    </w:p>
    <w:p>
      <w:pPr>
        <w:spacing w:line="360" w:lineRule="auto"/>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br w:type="page" w:clear="all"/>
      </w:r>
      <w:r/>
    </w:p>
    <w:p>
      <w:pPr>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3</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rPr>
        <w:t xml:space="preserve">开标一览表</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left"/>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left"/>
        <w:spacing w:line="360" w:lineRule="auto"/>
        <w:rPr>
          <w:rFonts w:hint="eastAsia"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2025年贾汪城区垃圾分类收集房采购项目</w:t>
      </w:r>
      <w:r/>
    </w:p>
    <w:p>
      <w:pPr>
        <w:jc w:val="left"/>
        <w:spacing w:line="360" w:lineRule="auto"/>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rPr>
        <w:t xml:space="preserve">项目编号：JSZC-320305-HKJT-G2025-0021</w:t>
      </w:r>
      <w:r>
        <w:rPr>
          <w:rFonts w:hint="eastAsia" w:ascii="仿宋" w:hAnsi="仿宋" w:eastAsia="仿宋" w:cs="仿宋"/>
          <w:color w:val="000000"/>
          <w:sz w:val="28"/>
          <w:szCs w:val="28"/>
          <w:highlight w:val="none"/>
          <w:lang w:val="en-US" w:eastAsia="zh-CN"/>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货币单位：人民币</w:t>
      </w:r>
      <w:r/>
    </w:p>
    <w:p>
      <w:pPr>
        <w:pStyle w:val="861"/>
        <w:rPr>
          <w:rFonts w:hint="eastAsia"/>
        </w:rPr>
      </w:pPr>
      <w:r>
        <w:rPr>
          <w:rFonts w:hint="eastAsia"/>
        </w:rPr>
      </w:r>
      <w:r/>
    </w:p>
    <w:tbl>
      <w:tblPr>
        <w:tblStyle w:val="832"/>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016"/>
        <w:gridCol w:w="2041"/>
        <w:gridCol w:w="3277"/>
      </w:tblGrid>
      <w:tr>
        <w:trPr>
          <w:cantSplit/>
          <w:jc w:val="center"/>
          <w:trHeight w:val="624"/>
        </w:trPr>
        <w:tc>
          <w:tcPr>
            <w:tcW w:w="4016" w:type="dxa"/>
            <w:vAlign w:val="center"/>
            <w:textDirection w:val="lrTb"/>
            <w:noWrap w:val="false"/>
          </w:tcPr>
          <w:p>
            <w:pPr>
              <w:pStyle w:val="868"/>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041" w:type="dxa"/>
            <w:vAlign w:val="center"/>
            <w:textDirection w:val="lrTb"/>
            <w:noWrap w:val="false"/>
          </w:tcPr>
          <w:p>
            <w:pPr>
              <w:pStyle w:val="868"/>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3277" w:type="dxa"/>
            <w:vAlign w:val="center"/>
            <w:textDirection w:val="lrTb"/>
            <w:noWrap w:val="false"/>
          </w:tcPr>
          <w:p>
            <w:pPr>
              <w:pStyle w:val="868"/>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cantSplit/>
          <w:jc w:val="center"/>
          <w:trHeight w:val="624"/>
        </w:trPr>
        <w:tc>
          <w:tcPr>
            <w:tcW w:w="4016" w:type="dxa"/>
            <w:vAlign w:val="center"/>
            <w:textDirection w:val="lrTb"/>
            <w:noWrap w:val="false"/>
          </w:tcPr>
          <w:p>
            <w:pPr>
              <w:pStyle w:val="868"/>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2025年贾汪城区垃圾分类收集房采购项目</w:t>
            </w:r>
            <w:r/>
          </w:p>
        </w:tc>
        <w:tc>
          <w:tcPr>
            <w:tcW w:w="2041" w:type="dxa"/>
            <w:vAlign w:val="center"/>
            <w:textDirection w:val="lrTb"/>
            <w:noWrap w:val="false"/>
          </w:tcPr>
          <w:p>
            <w:pPr>
              <w:pStyle w:val="868"/>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详见投标文件</w:t>
            </w:r>
            <w:r/>
          </w:p>
        </w:tc>
        <w:tc>
          <w:tcPr>
            <w:tcW w:w="3277" w:type="dxa"/>
            <w:vAlign w:val="center"/>
            <w:textDirection w:val="lrTb"/>
            <w:noWrap w:val="false"/>
          </w:tcPr>
          <w:p>
            <w:pPr>
              <w:pStyle w:val="868"/>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24"/>
        </w:trPr>
        <w:tc>
          <w:tcPr>
            <w:tcW w:w="4016" w:type="dxa"/>
            <w:vAlign w:val="center"/>
            <w:textDirection w:val="lrTb"/>
            <w:noWrap w:val="false"/>
          </w:tcPr>
          <w:p>
            <w:pPr>
              <w:pStyle w:val="868"/>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5318" w:type="dxa"/>
            <w:vAlign w:val="center"/>
            <w:textDirection w:val="lrTb"/>
            <w:noWrap w:val="false"/>
          </w:tcPr>
          <w:p>
            <w:pPr>
              <w:pStyle w:val="868"/>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ascii="仿宋" w:hAnsi="仿宋" w:eastAsia="仿宋"/>
          <w:color w:val="000000"/>
          <w:sz w:val="24"/>
        </w:rPr>
      </w:pPr>
      <w:r>
        <w:rPr>
          <w:rFonts w:ascii="仿宋" w:hAnsi="仿宋" w:eastAsia="仿宋"/>
          <w:color w:val="000000"/>
          <w:sz w:val="24"/>
        </w:rPr>
      </w:r>
      <w:r/>
    </w:p>
    <w:p>
      <w:pPr>
        <w:rPr>
          <w:rFonts w:ascii="仿宋" w:hAnsi="仿宋" w:eastAsia="仿宋"/>
          <w:color w:val="000000"/>
          <w:sz w:val="24"/>
        </w:rPr>
      </w:pPr>
      <w:r>
        <w:rPr>
          <w:rFonts w:ascii="仿宋" w:hAnsi="仿宋" w:eastAsia="仿宋"/>
          <w:color w:val="000000"/>
          <w:sz w:val="24"/>
        </w:rPr>
      </w:r>
      <w:r/>
    </w:p>
    <w:p>
      <w:pPr>
        <w:ind w:firstLine="723"/>
        <w:spacing w:line="480" w:lineRule="exact"/>
        <w:rPr>
          <w:rFonts w:ascii="仿宋" w:hAnsi="仿宋" w:eastAsia="仿宋"/>
          <w:color w:val="000000"/>
          <w:sz w:val="24"/>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报价包括完成本标段所需的全部费用。采购人不再支付报价以外的任何费用。</w:t>
      </w:r>
      <w:r>
        <w:rPr>
          <w:rFonts w:hint="eastAsia" w:ascii="宋体" w:hAnsi="宋体" w:eastAsia="宋体" w:cs="宋体"/>
          <w:color w:val="auto"/>
          <w:spacing w:val="10"/>
          <w:sz w:val="24"/>
          <w:szCs w:val="24"/>
          <w:highlight w:val="none"/>
          <w:lang w:val="en-US" w:eastAsia="zh-CN" w:bidi="ar"/>
        </w:rPr>
        <w:t xml:space="preserve">否则</w:t>
      </w:r>
      <w:r>
        <w:rPr>
          <w:rFonts w:hint="eastAsia" w:ascii="宋体" w:hAnsi="宋体" w:eastAsia="宋体" w:cs="宋体"/>
          <w:color w:val="auto"/>
          <w:sz w:val="24"/>
          <w:szCs w:val="24"/>
          <w:highlight w:val="none"/>
          <w:lang w:val="en-US" w:eastAsia="zh-CN" w:bidi="ar"/>
        </w:rPr>
        <w:t xml:space="preserve">将视为未实质性响应招标文件。</w:t>
      </w:r>
      <w:r/>
    </w:p>
    <w:p>
      <w:pPr>
        <w:ind w:firstLine="2760"/>
        <w:spacing w:line="480" w:lineRule="exact"/>
        <w:rPr>
          <w:rFonts w:ascii="仿宋" w:hAnsi="仿宋" w:eastAsia="仿宋"/>
          <w:color w:val="000000"/>
          <w:sz w:val="24"/>
        </w:rPr>
      </w:pPr>
      <w:r>
        <w:rPr>
          <w:rFonts w:ascii="仿宋" w:hAnsi="仿宋" w:eastAsia="仿宋"/>
          <w:color w:val="000000"/>
          <w:sz w:val="24"/>
        </w:rPr>
      </w:r>
      <w:r/>
    </w:p>
    <w:p>
      <w:pPr>
        <w:ind w:firstLine="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投标人：（盖单位</w:t>
      </w:r>
      <w:r>
        <w:rPr>
          <w:rFonts w:hint="eastAsia" w:ascii="仿宋" w:hAnsi="仿宋" w:eastAsia="仿宋" w:cs="仿宋"/>
          <w:color w:val="000000"/>
          <w:sz w:val="30"/>
          <w:szCs w:val="30"/>
          <w:lang w:eastAsia="zh-CN"/>
        </w:rPr>
        <w:t xml:space="preserve">电子签章</w:t>
      </w:r>
      <w:r>
        <w:rPr>
          <w:rFonts w:hint="eastAsia" w:ascii="仿宋" w:hAnsi="仿宋" w:eastAsia="仿宋"/>
          <w:color w:val="000000"/>
          <w:sz w:val="30"/>
          <w:szCs w:val="30"/>
        </w:rPr>
        <w:t xml:space="preserve">）</w:t>
      </w:r>
      <w:r/>
    </w:p>
    <w:p>
      <w:pPr>
        <w:ind w:firstLine="600"/>
        <w:spacing w:line="480" w:lineRule="exact"/>
        <w:rPr>
          <w:rFonts w:hint="eastAsia" w:ascii="仿宋" w:hAnsi="仿宋" w:eastAsia="仿宋"/>
          <w:color w:val="000000"/>
          <w:sz w:val="30"/>
          <w:szCs w:val="30"/>
          <w:lang w:eastAsia="zh-CN"/>
        </w:rPr>
      </w:pPr>
      <w:r>
        <w:rPr>
          <w:rFonts w:hint="eastAsia" w:ascii="仿宋" w:hAnsi="仿宋" w:eastAsia="仿宋"/>
          <w:color w:val="000000"/>
          <w:sz w:val="30"/>
          <w:szCs w:val="30"/>
          <w:lang w:eastAsia="zh-CN"/>
        </w:rPr>
      </w:r>
      <w:r/>
    </w:p>
    <w:p>
      <w:pPr>
        <w:ind w:firstLine="3900"/>
        <w:spacing w:line="480" w:lineRule="exact"/>
        <w:rPr>
          <w:rFonts w:ascii="仿宋" w:hAnsi="仿宋" w:eastAsia="仿宋"/>
          <w:color w:val="000000"/>
          <w:sz w:val="30"/>
          <w:szCs w:val="30"/>
        </w:rPr>
      </w:pPr>
      <w:r>
        <w:rPr>
          <w:rFonts w:ascii="仿宋" w:hAnsi="仿宋" w:eastAsia="仿宋"/>
          <w:color w:val="000000"/>
          <w:sz w:val="30"/>
          <w:szCs w:val="30"/>
        </w:rPr>
      </w:r>
      <w:r/>
    </w:p>
    <w:p>
      <w:pPr>
        <w:ind w:firstLine="4950"/>
        <w:spacing w:line="480" w:lineRule="exact"/>
        <w:rPr>
          <w:rFonts w:ascii="仿宋" w:hAnsi="仿宋" w:eastAsia="仿宋"/>
          <w:color w:val="000000"/>
          <w:sz w:val="30"/>
          <w:szCs w:val="30"/>
        </w:rPr>
      </w:pPr>
      <w:r>
        <w:rPr>
          <w:rFonts w:hint="eastAsia" w:ascii="仿宋" w:hAnsi="仿宋" w:eastAsia="仿宋"/>
          <w:color w:val="000000"/>
          <w:sz w:val="30"/>
          <w:szCs w:val="30"/>
        </w:rPr>
        <w:t xml:space="preserve">日期：年月日</w:t>
      </w:r>
      <w:r/>
    </w:p>
    <w:p>
      <w:pP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rPr>
        <w:t xml:space="preserve">4</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rPr>
        <w:t xml:space="preserve">分项价格表</w:t>
      </w:r>
      <w:r/>
    </w:p>
    <w:p>
      <w:pPr>
        <w:jc w:val="left"/>
        <w:spacing w:line="360" w:lineRule="auto"/>
        <w:rPr>
          <w:rFonts w:hint="eastAsia"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2025年贾汪城区垃圾分类收集房采购项目</w:t>
      </w:r>
      <w:r/>
    </w:p>
    <w:p>
      <w:pPr>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项目编号：JSZC-320305-HKJT-G2025-0021</w:t>
      </w:r>
      <w:r>
        <w:rPr>
          <w:rFonts w:hint="eastAsia" w:ascii="仿宋" w:hAnsi="仿宋" w:eastAsia="仿宋" w:cs="仿宋"/>
          <w:color w:val="000000"/>
          <w:sz w:val="28"/>
          <w:szCs w:val="28"/>
          <w:highlight w:val="none"/>
          <w:lang w:val="en-US" w:eastAsia="zh-CN"/>
        </w:rPr>
        <w:t xml:space="preserve"> </w:t>
      </w:r>
      <w:r/>
    </w:p>
    <w:p>
      <w:pPr>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货币单位：人民币元</w:t>
      </w:r>
      <w:r/>
    </w:p>
    <w:p>
      <w:pPr>
        <w:jc w:val="center"/>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bl>
      <w:tblPr>
        <w:tblStyle w:val="832"/>
        <w:tblW w:w="92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7"/>
        <w:gridCol w:w="665"/>
        <w:gridCol w:w="5410"/>
        <w:gridCol w:w="576"/>
        <w:gridCol w:w="674"/>
        <w:gridCol w:w="880"/>
        <w:gridCol w:w="635"/>
      </w:tblGrid>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参数及指标</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全费用固定综合单价</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r>
      <w:tr>
        <w:trPr>
          <w:trHeight w:val="894"/>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智能垃圾分类房</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vMerge w:val="restart"/>
            <w:textDirection w:val="lrTb"/>
            <w:noWrap w:val="false"/>
          </w:tcPr>
          <w:p>
            <w:pPr>
              <w:numPr>
                <w:ilvl w:val="0"/>
                <w:numId w:val="4"/>
              </w:numPr>
              <w:jc w:val="left"/>
              <w:keepLines w:val="0"/>
              <w:keepNext w:val="0"/>
              <w:widowControl/>
              <w:rPr>
                <w:rFonts w:hint="default" w:ascii="Calibri" w:hAnsi="Calibri" w:cs="Times New Roman"/>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正面尺寸4000*2500*3000mm,房体净高2600mm,房体正面上方设遮阳棚,高度约430mm（招标工程量为暂定量，最终以实际现场面积计取制作)。</w:t>
            </w:r>
            <w:r>
              <w:rPr>
                <w:rFonts w:hint="eastAsia" w:ascii="宋体" w:hAnsi="宋体" w:eastAsia="宋体" w:cs="宋体"/>
                <w:i w:val="0"/>
                <w:iCs w:val="0"/>
                <w:color w:val="000000"/>
                <w:sz w:val="24"/>
                <w:szCs w:val="24"/>
                <w:u w:val="none"/>
                <w:lang w:val="en-US" w:eastAsia="zh-CN" w:bidi="ar"/>
              </w:rPr>
              <w:br/>
            </w:r>
            <w:r>
              <w:rPr>
                <w:rFonts w:hint="eastAsia" w:ascii="宋体" w:hAnsi="宋体" w:cs="宋体"/>
                <w:b/>
                <w:bCs/>
                <w:color w:val="000000"/>
                <w:sz w:val="24"/>
                <w:u w:val="none"/>
                <w:lang w:val="en-US" w:eastAsia="zh-CN" w:bidi="ar"/>
              </w:rPr>
              <w:t xml:space="preserve">结构形式</w:t>
            </w:r>
            <w:r>
              <w:rPr>
                <w:rFonts w:hint="eastAsia" w:ascii="宋体" w:hAnsi="宋体" w:cs="宋体"/>
                <w:color w:val="000000"/>
                <w:sz w:val="24"/>
                <w:u w:val="none"/>
                <w:lang w:val="en-US" w:eastAsia="zh-CN" w:bidi="ar"/>
              </w:rPr>
              <w:t xml:space="preserve">：镀锌管框架结构,立柱规格为100*100*3.0mm（厚度t=3.0mm);</w:t>
            </w:r>
            <w:r>
              <w:rPr>
                <w:rFonts w:hint="eastAsia" w:ascii="宋体" w:hAnsi="宋体" w:cs="宋体"/>
                <w:color w:val="000000"/>
                <w:sz w:val="24"/>
                <w:u w:val="none"/>
                <w:lang w:val="en-US" w:eastAsia="zh-CN" w:bidi="ar"/>
              </w:rPr>
              <w:br/>
            </w:r>
            <w:r>
              <w:rPr>
                <w:rFonts w:hint="eastAsia" w:ascii="宋体" w:hAnsi="宋体" w:cs="宋体"/>
                <w:b/>
                <w:bCs/>
                <w:color w:val="000000"/>
                <w:sz w:val="24"/>
                <w:u w:val="none"/>
                <w:lang w:val="en-US" w:eastAsia="zh-CN" w:bidi="ar"/>
              </w:rPr>
              <w:t xml:space="preserve">地面主梁</w:t>
            </w:r>
            <w:r>
              <w:rPr>
                <w:rFonts w:hint="eastAsia" w:ascii="宋体" w:hAnsi="宋体" w:cs="宋体"/>
                <w:color w:val="000000"/>
                <w:sz w:val="24"/>
                <w:u w:val="none"/>
                <w:lang w:val="en-US" w:eastAsia="zh-CN" w:bidi="ar"/>
              </w:rPr>
              <w:t xml:space="preserve">100*100*3mm镀锌管（厚度t=3.0mm,材质镀锌管)；</w:t>
            </w:r>
            <w:r>
              <w:rPr>
                <w:rFonts w:hint="eastAsia" w:ascii="宋体" w:hAnsi="宋体" w:cs="宋体"/>
                <w:color w:val="000000"/>
                <w:sz w:val="24"/>
                <w:u w:val="none"/>
                <w:lang w:val="en-US" w:eastAsia="zh-CN" w:bidi="ar"/>
              </w:rPr>
              <w:br/>
            </w:r>
            <w:r>
              <w:rPr>
                <w:rFonts w:hint="eastAsia" w:ascii="宋体" w:hAnsi="宋体" w:cs="宋体"/>
                <w:b/>
                <w:bCs/>
                <w:color w:val="000000"/>
                <w:sz w:val="24"/>
                <w:u w:val="none"/>
                <w:lang w:val="en-US" w:eastAsia="zh-CN" w:bidi="ar"/>
              </w:rPr>
              <w:t xml:space="preserve">地面次梁</w:t>
            </w:r>
            <w:r>
              <w:rPr>
                <w:rFonts w:hint="eastAsia" w:ascii="宋体" w:hAnsi="宋体" w:cs="宋体"/>
                <w:color w:val="000000"/>
                <w:sz w:val="24"/>
                <w:u w:val="none"/>
                <w:lang w:val="en-US" w:eastAsia="zh-CN" w:bidi="ar"/>
              </w:rPr>
              <w:t xml:space="preserve">80*40*1.5mm镀锌管;（厚度t=1.5mm,材质镀锌管)</w:t>
            </w:r>
            <w:r>
              <w:rPr>
                <w:rFonts w:hint="eastAsia" w:ascii="宋体" w:hAnsi="宋体" w:cs="宋体"/>
                <w:color w:val="000000"/>
                <w:sz w:val="24"/>
                <w:u w:val="none"/>
                <w:lang w:val="en-US" w:eastAsia="zh-CN" w:bidi="ar"/>
              </w:rPr>
              <w:br/>
            </w:r>
            <w:r>
              <w:rPr>
                <w:rFonts w:hint="eastAsia" w:ascii="宋体" w:hAnsi="宋体" w:cs="宋体"/>
                <w:b/>
                <w:bCs/>
                <w:color w:val="000000"/>
                <w:sz w:val="24"/>
                <w:u w:val="none"/>
                <w:lang w:val="en-US" w:eastAsia="zh-CN" w:bidi="ar"/>
              </w:rPr>
              <w:t xml:space="preserve">地面铺设</w:t>
            </w:r>
            <w:r>
              <w:rPr>
                <w:rFonts w:hint="eastAsia" w:ascii="宋体" w:hAnsi="宋体" w:cs="宋体"/>
                <w:color w:val="000000"/>
                <w:sz w:val="24"/>
                <w:u w:val="none"/>
                <w:lang w:val="en-US" w:eastAsia="zh-CN" w:bidi="ar"/>
              </w:rPr>
              <w:t xml:space="preserve">t≥2.0mm不锈钢花纹防滑板;</w:t>
            </w:r>
            <w:r>
              <w:rPr>
                <w:rFonts w:hint="eastAsia" w:ascii="宋体" w:hAnsi="宋体" w:cs="宋体"/>
                <w:color w:val="000000"/>
                <w:sz w:val="24"/>
                <w:u w:val="none"/>
                <w:lang w:val="en-US" w:eastAsia="zh-CN" w:bidi="ar"/>
              </w:rPr>
              <w:br/>
            </w:r>
            <w:r>
              <w:rPr>
                <w:rFonts w:hint="eastAsia" w:ascii="宋体" w:hAnsi="宋体" w:cs="宋体"/>
                <w:b/>
                <w:bCs/>
                <w:color w:val="000000"/>
                <w:sz w:val="24"/>
                <w:u w:val="none"/>
                <w:lang w:val="en-US" w:eastAsia="zh-CN" w:bidi="ar"/>
              </w:rPr>
              <w:t xml:space="preserve">顶框屋面主梁</w:t>
            </w:r>
            <w:r>
              <w:rPr>
                <w:rFonts w:hint="eastAsia" w:ascii="宋体" w:hAnsi="宋体" w:cs="宋体"/>
                <w:color w:val="000000"/>
                <w:sz w:val="24"/>
                <w:u w:val="none"/>
                <w:lang w:val="en-US" w:eastAsia="zh-CN" w:bidi="ar"/>
              </w:rPr>
              <w:t xml:space="preserve">100*100*3mm镀锌管;（厚度t=3.0mm,材质镀锌管);</w:t>
            </w:r>
            <w:r>
              <w:rPr>
                <w:rFonts w:hint="eastAsia" w:ascii="宋体" w:hAnsi="宋体" w:cs="宋体"/>
                <w:color w:val="000000"/>
                <w:sz w:val="24"/>
                <w:u w:val="none"/>
                <w:lang w:val="en-US" w:eastAsia="zh-CN" w:bidi="ar"/>
              </w:rPr>
              <w:br/>
            </w:r>
            <w:r>
              <w:rPr>
                <w:rFonts w:hint="eastAsia" w:ascii="宋体" w:hAnsi="宋体" w:cs="宋体"/>
                <w:b/>
                <w:bCs/>
                <w:color w:val="000000"/>
                <w:sz w:val="24"/>
                <w:u w:val="none"/>
                <w:lang w:val="en-US" w:eastAsia="zh-CN" w:bidi="ar"/>
              </w:rPr>
              <w:t xml:space="preserve">顶框次梁</w:t>
            </w:r>
            <w:r>
              <w:rPr>
                <w:rFonts w:hint="eastAsia" w:ascii="宋体" w:hAnsi="宋体" w:cs="宋体"/>
                <w:color w:val="000000"/>
                <w:sz w:val="24"/>
                <w:u w:val="none"/>
                <w:lang w:val="en-US" w:eastAsia="zh-CN" w:bidi="ar"/>
              </w:rPr>
              <w:t xml:space="preserve">80*40*1.5mm镀锌管;（厚度t=1.5mm,材质镀锌管)</w:t>
            </w:r>
            <w:r>
              <w:rPr>
                <w:rFonts w:hint="eastAsia" w:ascii="宋体" w:hAnsi="宋体" w:cs="宋体"/>
                <w:color w:val="000000"/>
                <w:sz w:val="24"/>
                <w:u w:val="none"/>
                <w:lang w:val="en-US" w:eastAsia="zh-CN" w:bidi="ar"/>
              </w:rPr>
              <w:br/>
            </w:r>
            <w:r>
              <w:rPr>
                <w:rFonts w:hint="eastAsia" w:ascii="宋体" w:hAnsi="宋体" w:cs="宋体"/>
                <w:b/>
                <w:bCs/>
                <w:color w:val="000000"/>
                <w:sz w:val="24"/>
                <w:u w:val="none"/>
                <w:lang w:val="en-US" w:eastAsia="zh-CN" w:bidi="ar"/>
              </w:rPr>
              <w:t xml:space="preserve">所有外漏镀锌板材及镀锌方管表面喷漆处理(防腐、防锈、美观）</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2、</w:t>
            </w:r>
            <w:r>
              <w:rPr>
                <w:rFonts w:hint="eastAsia" w:ascii="宋体" w:hAnsi="宋体" w:cs="宋体"/>
                <w:b/>
                <w:bCs/>
                <w:color w:val="000000"/>
                <w:sz w:val="24"/>
                <w:u w:val="none"/>
                <w:lang w:val="en-US" w:eastAsia="zh-CN" w:bidi="ar"/>
              </w:rPr>
              <w:t xml:space="preserve">顶部：</w:t>
            </w:r>
            <w:r>
              <w:rPr>
                <w:rFonts w:hint="eastAsia" w:ascii="宋体" w:hAnsi="宋体" w:cs="宋体"/>
                <w:color w:val="000000"/>
                <w:sz w:val="24"/>
                <w:u w:val="none"/>
                <w:lang w:val="en-US" w:eastAsia="zh-CN" w:bidi="ar"/>
              </w:rPr>
              <w:t xml:space="preserve">屋顶1mm</w:t>
            </w:r>
            <w:r>
              <w:rPr>
                <w:rFonts w:hint="eastAsia" w:ascii="宋体" w:hAnsi="宋体" w:eastAsia="宋体" w:cs="宋体"/>
                <w:color w:val="000000"/>
                <w:sz w:val="24"/>
                <w:szCs w:val="24"/>
                <w:lang w:val="en-US" w:eastAsia="zh-CN" w:bidi="ar"/>
              </w:rPr>
              <w:t xml:space="preserve">镀锌</w:t>
            </w:r>
            <w:r>
              <w:rPr>
                <w:rFonts w:hint="eastAsia" w:ascii="宋体" w:hAnsi="宋体" w:eastAsia="宋体" w:cs="宋体"/>
                <w:color w:val="000000"/>
                <w:sz w:val="24"/>
                <w:szCs w:val="24"/>
                <w:lang w:bidi="ar"/>
              </w:rPr>
              <w:t xml:space="preserve">钢板</w:t>
            </w:r>
            <w:r>
              <w:rPr>
                <w:rFonts w:hint="eastAsia" w:ascii="宋体" w:hAnsi="宋体" w:cs="宋体"/>
                <w:color w:val="000000"/>
                <w:sz w:val="24"/>
                <w:u w:val="none"/>
                <w:lang w:val="en-US" w:eastAsia="zh-CN" w:bidi="ar"/>
              </w:rPr>
              <w:t xml:space="preserve">加20mm岩棉卷毡保温层加</w:t>
            </w:r>
            <w:r>
              <w:rPr>
                <w:rFonts w:hint="eastAsia" w:ascii="宋体" w:hAnsi="宋体" w:eastAsia="宋体" w:cs="宋体"/>
                <w:color w:val="000000"/>
                <w:sz w:val="24"/>
                <w:szCs w:val="24"/>
                <w:lang w:val="en-US" w:eastAsia="zh-CN" w:bidi="ar"/>
              </w:rPr>
              <w:t xml:space="preserve">竹木纤维板</w:t>
            </w:r>
            <w:r>
              <w:rPr>
                <w:rFonts w:hint="eastAsia" w:ascii="宋体" w:hAnsi="宋体" w:eastAsia="宋体" w:cs="宋体"/>
                <w:color w:val="000000"/>
                <w:sz w:val="24"/>
                <w:szCs w:val="24"/>
                <w:lang w:bidi="ar"/>
              </w:rPr>
              <w:t xml:space="preserve">吊顶</w:t>
            </w:r>
            <w:r>
              <w:rPr>
                <w:rFonts w:hint="eastAsia" w:ascii="宋体" w:hAnsi="宋体" w:cs="宋体"/>
                <w:color w:val="000000"/>
                <w:sz w:val="24"/>
                <w:szCs w:val="24"/>
                <w:lang w:eastAsia="zh-CN" w:bidi="ar"/>
              </w:rPr>
              <w:t xml:space="preserve">。 </w:t>
            </w:r>
            <w:bookmarkStart w:id="8" w:name="_GoBack"/>
            <w:r/>
            <w:bookmarkEnd w:id="8"/>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3、</w:t>
            </w:r>
            <w:r>
              <w:rPr>
                <w:rFonts w:hint="eastAsia" w:ascii="宋体" w:hAnsi="宋体" w:cs="宋体"/>
                <w:b/>
                <w:bCs/>
                <w:color w:val="000000"/>
                <w:sz w:val="24"/>
                <w:u w:val="none"/>
                <w:lang w:val="en-US" w:eastAsia="zh-CN" w:bidi="ar"/>
              </w:rPr>
              <w:t xml:space="preserve">墙体部分</w:t>
            </w:r>
            <w:r>
              <w:rPr>
                <w:rFonts w:hint="eastAsia" w:ascii="宋体" w:hAnsi="宋体" w:cs="宋体"/>
                <w:color w:val="000000"/>
                <w:sz w:val="24"/>
                <w:u w:val="none"/>
                <w:lang w:val="en-US" w:eastAsia="zh-CN" w:bidi="ar"/>
              </w:rPr>
              <w:t xml:space="preserve">：内墙:内墙采用50mm厚岩棉板,耐火极限为2.15h,材料燃烧等级为B1级;保温隔热,传热系数为0.3-0.4W/(m.k);产品绿色环保,不含甲醛,可100%回收再利用,具有防水、耐腐蚀等效果。房内阴角加装镀锌板（喷塑）角线装饰，确保美观。</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外墙：采用厚度16mm金属雕花板，燃烧性能为B1级阻燃，具有美观、耐酸碱、抗冲击、耐腐蚀、阻燃等效果。</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4、</w:t>
            </w:r>
            <w:r>
              <w:rPr>
                <w:rFonts w:hint="eastAsia" w:ascii="宋体" w:hAnsi="宋体" w:cs="宋体"/>
                <w:b/>
                <w:bCs/>
                <w:color w:val="000000"/>
                <w:sz w:val="24"/>
                <w:u w:val="none"/>
                <w:lang w:val="en-US" w:eastAsia="zh-CN" w:bidi="ar"/>
              </w:rPr>
              <w:t xml:space="preserve">门窗</w:t>
            </w:r>
            <w:r>
              <w:rPr>
                <w:rFonts w:hint="eastAsia" w:ascii="宋体" w:hAnsi="宋体" w:cs="宋体"/>
                <w:color w:val="000000"/>
                <w:sz w:val="24"/>
                <w:u w:val="none"/>
                <w:lang w:val="en-US" w:eastAsia="zh-CN" w:bidi="ar"/>
              </w:rPr>
              <w:t xml:space="preserve">:侧面安装铝合金门或手动卷帘门,尺寸不低于1000*2000mm,,整体铝材厚度≥1.2mm,含固定装置,于门配套的相关五金件符合房屋使用寿命要求。后窗为铝合金窗户（壁厚符合国家规范要求）尺寸不低于700*400mm。</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5、</w:t>
            </w:r>
            <w:r>
              <w:rPr>
                <w:rFonts w:hint="eastAsia" w:ascii="宋体" w:hAnsi="宋体" w:cs="宋体"/>
                <w:b/>
                <w:bCs/>
                <w:color w:val="000000"/>
                <w:sz w:val="24"/>
                <w:u w:val="none"/>
                <w:lang w:val="en-US" w:eastAsia="zh-CN" w:bidi="ar"/>
              </w:rPr>
              <w:t xml:space="preserve">主体包含</w:t>
            </w:r>
            <w:r>
              <w:rPr>
                <w:rFonts w:hint="eastAsia" w:ascii="宋体" w:hAnsi="宋体" w:cs="宋体"/>
                <w:color w:val="000000"/>
                <w:sz w:val="24"/>
                <w:u w:val="none"/>
                <w:lang w:val="en-US" w:eastAsia="zh-CN" w:bidi="ar"/>
              </w:rPr>
              <w:t xml:space="preserve">：破袋分拣器、除臭设施（紫外线+臭氧杀菌+负离功能）、不锈钢（或陶瓷）洗手池、不锈钢水龙头、吸顶灯（满足日常使用瓦数）、五孔电源插座（满足日常使用）、换气扇、灭蚊蝇灯、应急照明灯（应急时间不低于90分钟）、冲洗水枪（满足日常使用）、水池（含拖把池及配件）、配电箱（额定电压：AC400v,防护等级IP30,漏电保护断路器2P/C40A/40MA/C,小型断路器C16A/2P*1,C10A/2P*1,均为国标产品,满足消防验收标准)（以上内容为基础配备，如未配备甲方有权自行购买并扣除相应违约金）</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6、</w:t>
            </w:r>
            <w:r>
              <w:rPr>
                <w:rFonts w:hint="eastAsia" w:ascii="宋体" w:hAnsi="宋体" w:cs="宋体"/>
                <w:b/>
                <w:bCs/>
                <w:color w:val="000000"/>
                <w:sz w:val="24"/>
                <w:u w:val="none"/>
                <w:lang w:val="en-US" w:eastAsia="zh-CN" w:bidi="ar"/>
              </w:rPr>
              <w:t xml:space="preserve">LED显示屏</w:t>
            </w:r>
            <w:r>
              <w:rPr>
                <w:rFonts w:hint="eastAsia" w:ascii="宋体" w:hAnsi="宋体" w:cs="宋体"/>
                <w:color w:val="000000"/>
                <w:sz w:val="24"/>
                <w:u w:val="none"/>
                <w:lang w:val="en-US" w:eastAsia="zh-CN" w:bidi="ar"/>
              </w:rPr>
              <w:t xml:space="preserve">：P10全户外单红色LED广告滚动屏</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单元板尺寸：320*160mm，换帧频率：≥60HZ ，可手机无线遥控配置广告；</w:t>
            </w:r>
            <w:r/>
          </w:p>
          <w:p>
            <w:pPr>
              <w:numPr>
                <w:ilvl w:val="0"/>
                <w:numId w:val="0"/>
              </w:numPr>
              <w:jc w:val="left"/>
              <w:keepLines w:val="0"/>
              <w:keepNext w:val="0"/>
              <w:widowControl/>
              <w:rPr>
                <w:rFonts w:hint="default" w:ascii="Calibri" w:hAnsi="Calibri" w:cs="Times New Roman"/>
                <w:lang w:val="en-US" w:eastAsia="zh-CN" w:bidi="ar"/>
              </w:rPr>
              <w:suppressLineNumbers w:val="0"/>
            </w:pPr>
            <w:r>
              <w:rPr>
                <w:rFonts w:hint="eastAsia" w:ascii="宋体" w:hAnsi="宋体" w:cs="宋体"/>
                <w:color w:val="000000"/>
                <w:sz w:val="24"/>
                <w:u w:val="none"/>
                <w:lang w:val="en-US" w:eastAsia="zh-CN" w:bidi="ar"/>
              </w:rPr>
              <w:t xml:space="preserve">显示区域：2560*320mm（最终以实际现场制定）</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7、</w:t>
            </w:r>
            <w:r>
              <w:rPr>
                <w:rFonts w:hint="eastAsia" w:ascii="宋体" w:hAnsi="宋体" w:cs="宋体"/>
                <w:b/>
                <w:bCs/>
                <w:color w:val="000000"/>
                <w:sz w:val="24"/>
                <w:u w:val="none"/>
                <w:lang w:val="en-US" w:eastAsia="zh-CN" w:bidi="ar"/>
              </w:rPr>
              <w:t xml:space="preserve">智能投口</w:t>
            </w:r>
            <w:r>
              <w:rPr>
                <w:rFonts w:hint="eastAsia" w:ascii="宋体" w:hAnsi="宋体" w:cs="宋体"/>
                <w:color w:val="000000"/>
                <w:sz w:val="24"/>
                <w:u w:val="none"/>
                <w:lang w:val="en-US" w:eastAsia="zh-CN" w:bidi="ar"/>
              </w:rPr>
              <w:t xml:space="preserve">：智能推拉杆投口，单个智能投口尺寸：62（±2）cm（长*高），适配240L塑料垃圾桶</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智能投口功能要求：智能化机械投口：投口具有按键开启、感应开启以及位置记忆防夹手功能（防夹手：带机械感应防夹手）</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智能投口超声波感应模块：人站在垃圾房投口超声波感应模块区域，规定时间内投口门不会关闭，当人离开指定区域，投口自动关闭（测量精度：正负20ma；测量角度：夹角70度；测量距离：0-70cm(以实际现场指定投口数量及分类标识)；</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满溢报警功能设计：当某个投口内部垃圾桶满载，相应报警指示灯亮起。</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8、集中投放点标识牌及广告（由招标人指定）；</w:t>
            </w:r>
            <w:r/>
          </w:p>
          <w:p>
            <w:pPr>
              <w:numPr>
                <w:ilvl w:val="0"/>
                <w:numId w:val="0"/>
              </w:numPr>
              <w:jc w:val="left"/>
              <w:keepLines w:val="0"/>
              <w:keepNext w:val="0"/>
              <w:widowControl/>
              <w:rPr>
                <w:rFonts w:hint="default" w:ascii="Calibri" w:hAnsi="Calibri" w:cs="Times New Roman"/>
                <w:lang w:val="en-US" w:eastAsia="zh-CN" w:bidi="ar"/>
              </w:rPr>
              <w:suppressLineNumbers w:val="0"/>
            </w:pPr>
            <w:r>
              <w:rPr>
                <w:rFonts w:hint="eastAsia" w:ascii="宋体" w:hAnsi="宋体" w:cs="宋体"/>
                <w:color w:val="000000"/>
                <w:sz w:val="24"/>
                <w:u w:val="none"/>
                <w:lang w:val="en-US" w:eastAsia="zh-CN" w:bidi="ar"/>
              </w:rPr>
              <w:t xml:space="preserve">9、</w:t>
            </w:r>
            <w:r>
              <w:rPr>
                <w:rFonts w:hint="eastAsia" w:ascii="宋体" w:hAnsi="宋体" w:eastAsia="宋体" w:cs="宋体"/>
                <w:i w:val="0"/>
                <w:iCs w:val="0"/>
                <w:color w:val="0000ff"/>
                <w:sz w:val="24"/>
                <w:szCs w:val="24"/>
                <w:u w:val="none"/>
                <w:lang w:val="en-US" w:eastAsia="zh-CN" w:bidi="ar"/>
              </w:rPr>
              <w:t xml:space="preserve">安装垃圾分类房门前接坡（符合垃圾分类房长度、高度）</w:t>
            </w:r>
            <w:r>
              <w:rPr>
                <w:rFonts w:hint="eastAsia" w:ascii="宋体" w:hAnsi="宋体" w:cs="宋体"/>
                <w:color w:val="000000"/>
                <w:sz w:val="24"/>
                <w:u w:val="none"/>
                <w:lang w:val="en-US" w:eastAsia="zh-CN" w:bidi="ar"/>
              </w:rPr>
              <w:br/>
            </w:r>
            <w:r>
              <w:rPr>
                <w:rFonts w:hint="eastAsia" w:ascii="宋体" w:hAnsi="宋体" w:cs="宋体"/>
                <w:color w:val="000000"/>
                <w:sz w:val="24"/>
                <w:u w:val="none"/>
                <w:lang w:val="en-US" w:eastAsia="zh-CN" w:bidi="ar"/>
              </w:rPr>
              <w:t xml:space="preserve">10、颜色由招标人指定（中标后需按招标人要求出具相应效果图）；</w:t>
            </w:r>
            <w:r/>
          </w:p>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color w:val="000000"/>
                <w:sz w:val="24"/>
                <w:u w:val="none"/>
                <w:lang w:val="en-US" w:eastAsia="zh-CN" w:bidi="ar"/>
              </w:rPr>
              <w:t xml:space="preserve">11、垃圾房内外均设置监控系统，可保证24小时实时监控。内外监控调取时间不低于15天,并配有语音警示功能。</w:t>
            </w:r>
            <w:r>
              <w:rPr>
                <w:rFonts w:hint="eastAsia" w:ascii="宋体" w:hAnsi="宋体" w:cs="宋体"/>
                <w:color w:val="000000"/>
                <w:sz w:val="24"/>
                <w:u w:val="none"/>
                <w:lang w:val="en-US" w:eastAsia="zh-CN" w:bidi="ar"/>
              </w:rPr>
              <w:br/>
            </w:r>
            <w:r>
              <w:rPr>
                <w:rFonts w:hint="eastAsia" w:ascii="宋体" w:hAnsi="宋体" w:cs="宋体"/>
                <w:b/>
                <w:bCs/>
                <w:color w:val="000000"/>
                <w:sz w:val="24"/>
                <w:u w:val="none"/>
                <w:lang w:val="en-US" w:eastAsia="zh-CN" w:bidi="ar"/>
              </w:rPr>
              <w:t xml:space="preserve">本次招标工程量为暂定量，以上工程量以实际场地建筑面积制定，由投标人综合考虑综合单价，结算以实际完成面积结算（投标人依据现场综合考虑，结算时单价不予调整，工程量以现场实际完成工程量计取）</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智能垃圾分类房基础设施要求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长*宽*厚：面积以实际面积计取，厚度不低于10cm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2、混凝土强度C20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3、负责垃圾房安装过程中所产生的环境破坏（如路面、绿化等）得修复工作。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4、负责暂定安装点位原有设施拆除堆放至招标人指定地点。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注意事项：使用施工护栏对施工区域进行维护，保证施工区域内外人员安全；施工区域内原有设施需要进行安全拆除并放置招标人指定地点；如需开挖需要进行树木移植，应提前联系相关部门进行报备，施工后并移回新的种植点，避免破坏施工区域内雨污水、燃气、电缆等相应内容，做好防护措施，不影响后期使用及维护。施工期间内需符合大气污染防治防控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（投标人依据现场综合考虑，结算时综合单价不予调整，工程量以现场实际完成工程量计取）</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8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配电要求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1、rvv2*</w:t>
            </w:r>
            <w:r>
              <w:rPr>
                <w:rFonts w:hint="eastAsia" w:ascii="宋体" w:hAnsi="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
              </w:rPr>
              <w:t xml:space="preserve">.5²（国标铜线）包含部分开挖、配管敷设安装、回填、恢复地面。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每座垃圾房按照40m考虑,</w:t>
            </w:r>
            <w:r>
              <w:rPr>
                <w:rFonts w:hint="eastAsia" w:ascii="宋体" w:hAnsi="宋体" w:eastAsia="宋体" w:cs="宋体"/>
                <w:i w:val="0"/>
                <w:iCs w:val="0"/>
                <w:color w:val="000000"/>
                <w:sz w:val="24"/>
                <w:szCs w:val="24"/>
                <w:u w:val="none"/>
                <w:lang w:val="en-US" w:eastAsia="zh-CN" w:bidi="ar"/>
              </w:rPr>
              <w:t xml:space="preserve">投标人依据现场综合考虑，结算时综合单价不予调整，工程量以现场实际完成工程量计取）</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rPr>
                <w:rFonts w:hint="default" w:ascii="宋体" w:hAnsi="宋体" w:eastAsia="宋体" w:cs="宋体"/>
                <w:i w:val="0"/>
                <w:iCs w:val="0"/>
                <w:color w:val="000000"/>
                <w:sz w:val="24"/>
                <w:szCs w:val="24"/>
                <w:u w:val="none"/>
                <w:lang w:val="en-US"/>
              </w:rPr>
            </w:pPr>
            <w:r>
              <w:rPr>
                <w:rFonts w:hint="default" w:ascii="宋体" w:hAnsi="宋体" w:eastAsia="宋体" w:cs="宋体"/>
                <w:i w:val="0"/>
                <w:iCs w:val="0"/>
                <w:color w:val="000000"/>
                <w:sz w:val="24"/>
                <w:szCs w:val="24"/>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7"/>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给水要求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1、PPRφ20给水管及配件，包含部分开挖、保温敷设安装、回填、恢复地面（如有）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每座垃圾房按照40m考虑,</w:t>
            </w:r>
            <w:r>
              <w:rPr>
                <w:rFonts w:hint="eastAsia" w:ascii="宋体" w:hAnsi="宋体" w:eastAsia="宋体" w:cs="宋体"/>
                <w:i w:val="0"/>
                <w:iCs w:val="0"/>
                <w:color w:val="000000"/>
                <w:sz w:val="24"/>
                <w:szCs w:val="24"/>
                <w:u w:val="none"/>
                <w:lang w:val="en-US" w:eastAsia="zh-CN" w:bidi="ar"/>
              </w:rPr>
              <w:t xml:space="preserve">投标人依据现场综合考虑，结算时综合单价不予调整，工程量以现场实际完成工程量计取）</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86"/>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排水要求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1、PVCφ75排水管及配件，包含部分开挖、敷设安装、回填、恢复地面（如有）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每座垃圾房按照40m考虑,</w:t>
            </w:r>
            <w:r>
              <w:rPr>
                <w:rFonts w:hint="eastAsia" w:ascii="宋体" w:hAnsi="宋体" w:eastAsia="宋体" w:cs="宋体"/>
                <w:i w:val="0"/>
                <w:iCs w:val="0"/>
                <w:color w:val="000000"/>
                <w:sz w:val="24"/>
                <w:szCs w:val="24"/>
                <w:u w:val="none"/>
                <w:lang w:val="en-US" w:eastAsia="zh-CN" w:bidi="ar"/>
              </w:rPr>
              <w:t xml:space="preserve">投标人依据现场综合考虑，结算时综合单价不予调整，工程量以现场实际完成工程量计取）</w:t>
            </w:r>
            <w:r/>
          </w:p>
        </w:tc>
        <w:tc>
          <w:tcPr>
            <w:shd w:val="clear" w:color="auto" w:fill="auto"/>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8"/>
        </w:trPr>
        <w:tc>
          <w:tcPr>
            <w:gridSpan w:val="7"/>
            <w:shd w:val="clear" w:color="auto" w:fill="auto"/>
            <w:tcBorders>
              <w:top w:val="single" w:color="000000" w:sz="4" w:space="0"/>
              <w:left w:val="single" w:color="000000" w:sz="4" w:space="0"/>
              <w:bottom w:val="single" w:color="000000" w:sz="4" w:space="0"/>
              <w:right w:val="single" w:color="000000" w:sz="4" w:space="0"/>
            </w:tcBorders>
            <w:tcW w:w="9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投标报价大写:                小写:</w:t>
            </w:r>
            <w:r/>
          </w:p>
        </w:tc>
      </w:tr>
      <w:tr>
        <w:trPr>
          <w:trHeight w:val="1396"/>
        </w:trPr>
        <w:tc>
          <w:tcPr>
            <w:gridSpan w:val="7"/>
            <w:shd w:val="clear" w:color="auto" w:fill="auto"/>
            <w:tcBorders>
              <w:top w:val="single" w:color="000000" w:sz="4" w:space="0"/>
              <w:left w:val="single" w:color="000000" w:sz="4" w:space="0"/>
              <w:bottom w:val="single" w:color="000000" w:sz="4" w:space="0"/>
              <w:right w:val="single" w:color="000000" w:sz="4" w:space="0"/>
            </w:tcBorders>
            <w:tcW w:w="929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注：本工程招标工程量为暂定量，最终以实际完成工程量计取，全费用固定综合单价包括但不限于：货物、材料、人工费、机械费、管理费、税金、运费、保险等用于本项目全部费用，后期不以工程量增减调整全费用固定综合单价。结算送审价不得超过最高限价，投标人自行踏勘现场。</w:t>
            </w:r>
            <w:r/>
          </w:p>
        </w:tc>
      </w:tr>
    </w:tbl>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spacing w:line="360"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spacing w:line="360" w:lineRule="auto"/>
        <w:widowControl/>
        <w:rPr>
          <w:rFonts w:hint="eastAsia" w:ascii="仿宋" w:hAnsi="仿宋" w:eastAsia="仿宋" w:cs="仿宋"/>
          <w:b/>
          <w:bCs/>
          <w:color w:val="000000"/>
          <w:sz w:val="32"/>
          <w:szCs w:val="32"/>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center"/>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iCs/>
          <w:color w:val="000000"/>
          <w:sz w:val="32"/>
          <w:szCs w:val="32"/>
          <w:highlight w:val="none"/>
          <w:u w:val="single"/>
        </w:rPr>
        <w:br w:type="page" w:clear="all"/>
      </w:r>
      <w:r>
        <w:rPr>
          <w:rFonts w:hint="eastAsia" w:ascii="仿宋" w:hAnsi="仿宋" w:eastAsia="仿宋" w:cs="仿宋"/>
          <w:b/>
          <w:bCs/>
          <w:color w:val="000000"/>
          <w:sz w:val="32"/>
          <w:szCs w:val="32"/>
          <w:highlight w:val="none"/>
        </w:rPr>
        <w:t xml:space="preserve">5</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28"/>
          <w:szCs w:val="28"/>
          <w:highlight w:val="none"/>
        </w:rPr>
        <w:t xml:space="preserve">具备履行合同所必需的设备和专业技术能力的</w:t>
      </w:r>
      <w:r>
        <w:rPr>
          <w:rFonts w:hint="eastAsia" w:ascii="仿宋" w:hAnsi="仿宋" w:eastAsia="仿宋" w:cs="仿宋"/>
          <w:b/>
          <w:bCs/>
          <w:color w:val="000000"/>
          <w:sz w:val="28"/>
          <w:szCs w:val="28"/>
          <w:highlight w:val="none"/>
          <w:lang w:val="en-US" w:eastAsia="zh-CN"/>
        </w:rPr>
        <w:t xml:space="preserve">证明材料</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2025年贾汪城区垃圾分类收集房采购项目</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项目编号：JSZC-320305-HKJT-G2025-0021</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u w:val="single"/>
        </w:rPr>
        <w:t xml:space="preserve">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投标人郑重声明：投标人具备履行合同（项目名称：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eastAsia="zh-CN"/>
        </w:rPr>
        <w:t xml:space="preserve">2025年贾汪城区垃圾分类收集房采购项目</w:t>
      </w: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u w:val="single"/>
        </w:rPr>
        <w:t xml:space="preserve"> JSZC-320305-HKJT-G2025-0021 </w:t>
      </w:r>
      <w:r>
        <w:rPr>
          <w:rFonts w:hint="eastAsia" w:ascii="仿宋" w:hAnsi="仿宋" w:eastAsia="仿宋" w:cs="仿宋"/>
          <w:color w:val="000000"/>
          <w:sz w:val="28"/>
          <w:szCs w:val="28"/>
          <w:highlight w:val="none"/>
        </w:rPr>
        <w:t xml:space="preserve">所必需的设备和专业技术能力，具体为：</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设备：</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（证明材料原件的扫描件附后）</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（证明材料原件的扫描件附后）</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专业技术能力：</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（证明材料原件的扫描件附后）</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（证明材料原件的扫描件附后）</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特此声明。</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投标人对上述声明的真实性负责。如有虚假，将依法承担相应责任。</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（电子签章） </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p>
    <w:p>
      <w:pPr>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6</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rPr>
        <w:t xml:space="preserve">投标人参加政府采购活动前3年内在经营活动中没有重大违法记录的书面声明</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48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我单位在参加（</w:t>
      </w:r>
      <w:r>
        <w:rPr>
          <w:rFonts w:hint="eastAsia" w:ascii="仿宋" w:hAnsi="仿宋" w:eastAsia="仿宋" w:cs="仿宋"/>
          <w:color w:val="000000"/>
          <w:sz w:val="32"/>
          <w:szCs w:val="32"/>
          <w:highlight w:val="none"/>
          <w:u w:val="single"/>
          <w:lang w:eastAsia="zh-CN"/>
        </w:rPr>
        <w:t xml:space="preserve">2025年贾汪城区垃圾分类收集房采购项目</w:t>
      </w:r>
      <w:r>
        <w:rPr>
          <w:rFonts w:hint="eastAsia" w:ascii="仿宋" w:hAnsi="仿宋" w:eastAsia="仿宋" w:cs="仿宋"/>
          <w:color w:val="000000"/>
          <w:sz w:val="32"/>
          <w:szCs w:val="32"/>
          <w:highlight w:val="none"/>
        </w:rPr>
        <w:t xml:space="preserve">）项目（项目编号：JSZC-320305-HKJT-G2025-0021）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我单位对上述声明的真实性负责。如有虚假，将依法承担相应责任。</w:t>
      </w:r>
      <w:r/>
    </w:p>
    <w:p>
      <w:pPr>
        <w:ind w:firstLine="600"/>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360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投标人：</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（盖电子签章）</w:t>
      </w:r>
      <w:r/>
    </w:p>
    <w:p>
      <w:pPr>
        <w:ind w:firstLine="48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w:t>
      </w:r>
      <w:r/>
    </w:p>
    <w:p>
      <w:pPr>
        <w:ind w:firstLine="360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日期：   年  月  日</w:t>
      </w:r>
      <w:r/>
    </w:p>
    <w:p>
      <w:pPr>
        <w:ind w:firstLine="600"/>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600"/>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63"/>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63"/>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63"/>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63"/>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63"/>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7</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rPr>
        <w:t xml:space="preserve">偏离表</w:t>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spacing w:line="360" w:lineRule="auto"/>
        <w:rPr>
          <w:rFonts w:hint="eastAsia"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2025年贾汪城区垃圾分类收集房采购项目</w:t>
      </w:r>
      <w:r/>
    </w:p>
    <w:p>
      <w:pPr>
        <w:spacing w:line="360" w:lineRule="auto"/>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JSZC-320305-HKJT-G2025-0021</w:t>
      </w:r>
      <w:r/>
    </w:p>
    <w:tbl>
      <w:tblPr>
        <w:tblStyle w:val="832"/>
        <w:tblW w:w="89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spacing w:line="36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aps/>
                <w:color w:val="000000"/>
                <w:sz w:val="28"/>
                <w:szCs w:val="28"/>
                <w:highlight w:val="none"/>
                <w:lang w:val="en-US" w:eastAsia="zh-CN" w:bidi="ar-SA"/>
              </w:rPr>
              <w:t xml:space="preserve">序号</w:t>
            </w:r>
            <w:r/>
          </w:p>
        </w:tc>
        <w:tc>
          <w:tcPr>
            <w:tcW w:w="1404" w:type="dxa"/>
            <w:vAlign w:val="center"/>
            <w:textDirection w:val="lrTb"/>
            <w:noWrap w:val="false"/>
          </w:tcPr>
          <w:p>
            <w:pPr>
              <w:jc w:val="center"/>
              <w:spacing w:line="36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aps/>
                <w:color w:val="000000"/>
                <w:sz w:val="28"/>
                <w:szCs w:val="28"/>
                <w:highlight w:val="none"/>
                <w:lang w:val="en-US" w:eastAsia="zh-CN" w:bidi="ar-SA"/>
              </w:rPr>
              <w:t xml:space="preserve">偏离内容</w:t>
            </w:r>
            <w:r/>
          </w:p>
        </w:tc>
        <w:tc>
          <w:tcPr>
            <w:tcW w:w="1476" w:type="dxa"/>
            <w:vAlign w:val="center"/>
            <w:textDirection w:val="lrTb"/>
            <w:noWrap w:val="false"/>
          </w:tcPr>
          <w:p>
            <w:pPr>
              <w:jc w:val="center"/>
              <w:spacing w:line="36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招标文件的要求</w:t>
            </w:r>
            <w:r/>
          </w:p>
        </w:tc>
        <w:tc>
          <w:tcPr>
            <w:tcW w:w="1620" w:type="dxa"/>
            <w:vAlign w:val="center"/>
            <w:textDirection w:val="lrTb"/>
            <w:noWrap w:val="false"/>
          </w:tcPr>
          <w:p>
            <w:pPr>
              <w:jc w:val="center"/>
              <w:spacing w:line="36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投标文件中的内容</w:t>
            </w:r>
            <w:r/>
          </w:p>
        </w:tc>
        <w:tc>
          <w:tcPr>
            <w:tcW w:w="1260" w:type="dxa"/>
            <w:vAlign w:val="center"/>
            <w:textDirection w:val="lrTb"/>
            <w:noWrap w:val="false"/>
          </w:tcPr>
          <w:p>
            <w:pPr>
              <w:jc w:val="center"/>
              <w:spacing w:line="36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aps/>
                <w:color w:val="000000"/>
                <w:sz w:val="28"/>
                <w:szCs w:val="28"/>
                <w:highlight w:val="none"/>
                <w:lang w:val="en-US" w:eastAsia="zh-CN" w:bidi="ar-SA"/>
              </w:rPr>
              <w:t xml:space="preserve">（正/负/无）偏离</w:t>
            </w:r>
            <w:r/>
          </w:p>
        </w:tc>
        <w:tc>
          <w:tcPr>
            <w:tcW w:w="2340" w:type="dxa"/>
            <w:vAlign w:val="center"/>
            <w:textDirection w:val="lrTb"/>
            <w:noWrap w:val="false"/>
          </w:tcPr>
          <w:p>
            <w:pPr>
              <w:jc w:val="center"/>
              <w:spacing w:line="360" w:lineRule="auto"/>
              <w:widowControl w:val="off"/>
              <w:rPr>
                <w:rFonts w:hint="eastAsia" w:ascii="仿宋" w:hAnsi="仿宋" w:eastAsia="仿宋" w:cs="仿宋"/>
                <w:caps/>
                <w:color w:val="000000"/>
                <w:sz w:val="28"/>
                <w:szCs w:val="28"/>
                <w:highlight w:val="none"/>
                <w:lang w:val="en-US" w:eastAsia="zh-CN" w:bidi="ar-SA"/>
              </w:rPr>
            </w:pPr>
            <w:r>
              <w:rPr>
                <w:rFonts w:hint="eastAsia" w:ascii="仿宋" w:hAnsi="仿宋" w:eastAsia="仿宋" w:cs="仿宋"/>
                <w:caps/>
                <w:color w:val="000000"/>
                <w:sz w:val="28"/>
                <w:szCs w:val="28"/>
                <w:highlight w:val="none"/>
                <w:lang w:val="en-US" w:eastAsia="zh-CN" w:bidi="ar-SA"/>
              </w:rPr>
              <w:t xml:space="preserve">说明</w:t>
            </w:r>
            <w:r/>
          </w:p>
        </w:tc>
      </w:tr>
      <w:tr>
        <w:trPr>
          <w:jc w:val="center"/>
          <w:trHeight w:val="794"/>
        </w:trPr>
        <w:tc>
          <w:tcPr>
            <w:tcW w:w="8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404"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476"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620"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260"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340"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jc w:val="center"/>
          <w:trHeight w:val="794"/>
        </w:trPr>
        <w:tc>
          <w:tcPr>
            <w:tcW w:w="8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404"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476"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620"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260"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340"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jc w:val="center"/>
          <w:trHeight w:val="794"/>
        </w:trPr>
        <w:tc>
          <w:tcPr>
            <w:tcW w:w="828"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404"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476"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620"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260"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2340" w:type="dxa"/>
            <w:vAlign w:val="top"/>
            <w:textDirection w:val="lrTb"/>
            <w:noWrap w:val="false"/>
          </w:tcPr>
          <w:p>
            <w:pPr>
              <w:jc w:val="both"/>
              <w:spacing w:line="360" w:lineRule="auto"/>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bl>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注：投标人的投标文件中的内容与招标文件（含招标文件的澄清或者修改的内容，下同）的要求不同时，逐条列在偏离表中，否则将认为投标人接受招标文件的要求。</w:t>
      </w:r>
      <w:r/>
    </w:p>
    <w:p>
      <w:pPr>
        <w:spacing w:line="36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00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（盖电子签章）</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p>
    <w:p>
      <w:pPr>
        <w:ind w:firstLine="312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jc w:val="center"/>
        <w:spacing w:line="360" w:lineRule="auto"/>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r>
      <w:r/>
    </w:p>
    <w:p>
      <w:pPr>
        <w:jc w:val="center"/>
        <w:spacing w:line="360" w:lineRule="auto"/>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r>
      <w:r/>
    </w:p>
    <w:p>
      <w:pPr>
        <w:jc w:val="center"/>
        <w:spacing w:line="360" w:lineRule="auto"/>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r>
      <w:r/>
    </w:p>
    <w:p>
      <w:pPr>
        <w:jc w:val="center"/>
        <w:spacing w:line="360" w:lineRule="auto"/>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r>
      <w:r/>
    </w:p>
    <w:p>
      <w:pPr>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rPr>
        <w:t xml:space="preserve">8</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rPr>
        <w:t xml:space="preserve">中小企业声明函</w:t>
      </w:r>
      <w:r/>
    </w:p>
    <w:p>
      <w:pPr>
        <w:spacing w:line="360" w:lineRule="auto"/>
        <w:widowControl/>
        <w:rPr>
          <w:rFonts w:hint="eastAsia" w:ascii="仿宋" w:hAnsi="仿宋" w:eastAsia="仿宋" w:cs="仿宋"/>
          <w:color w:val="000000"/>
          <w:sz w:val="28"/>
          <w:szCs w:val="28"/>
          <w:highlight w:val="none"/>
          <w:u w:val="single"/>
          <w:lang w:val="en-US"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u w:val="none"/>
          <w:lang w:eastAsia="zh-CN"/>
        </w:rPr>
        <w:t xml:space="preserve">2025年贾汪城区垃圾分类收集房采购项目</w:t>
      </w:r>
      <w:r/>
    </w:p>
    <w:p>
      <w:pPr>
        <w:spacing w:line="360" w:lineRule="auto"/>
        <w:widowControl/>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JSZC-320305-HKJT-G2025-0021</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本公司郑重声明，根据《政府采购促进中小企业发展管理办法》（财库 (2020)46号）的规定，本公司参加</w:t>
      </w:r>
      <w:r>
        <w:rPr>
          <w:rFonts w:hint="eastAsia" w:ascii="仿宋" w:hAnsi="仿宋" w:eastAsia="仿宋" w:cs="仿宋"/>
          <w:color w:val="000000"/>
          <w:sz w:val="28"/>
          <w:szCs w:val="28"/>
          <w:highlight w:val="none"/>
          <w:u w:val="single"/>
          <w:lang w:eastAsia="zh-CN"/>
        </w:rPr>
        <w:t xml:space="preserve">徐州市贾汪区城市管理局</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eastAsia="zh-CN"/>
        </w:rPr>
        <w:t xml:space="preserve">2025年贾汪城区垃圾分类收集房采购项目</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rPr>
        <w:t xml:space="preserve">采购活动，提供的货物全部由符合政策要求的中小企业制造。相关企业的具体情况如下：</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（标的名称），属于（采购文件中明确的所属行业）；制造商为（企业名称），从业人员</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人，营业收入为</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万元，资产总额为</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万元，属于（□中型企业、□小型企业、□微型企业</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请勾选！）；</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以上企业，不属于大企业的分支机构，不存在控股股东为大企业的情形，也不存在与大企业的负责人为同一人的情形。</w:t>
      </w:r>
      <w:r/>
    </w:p>
    <w:p>
      <w:pPr>
        <w:ind w:firstLine="56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本企业对上述声明内容的真实性负责。如有虚假，将依法承担相应责任。</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企业名称（电子签章）：</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备注：本采购项目所属行业为“制造业”。</w:t>
      </w:r>
      <w:r/>
    </w:p>
    <w:p>
      <w:pPr>
        <w:ind w:firstLine="562"/>
        <w:spacing w:line="360" w:lineRule="auto"/>
        <w:rPr>
          <w:rFonts w:hint="eastAsia" w:ascii="仿宋" w:hAnsi="仿宋" w:eastAsia="仿宋" w:cs="仿宋"/>
          <w:color w:val="000000"/>
          <w:sz w:val="28"/>
          <w:szCs w:val="28"/>
          <w:highlight w:val="none"/>
        </w:rPr>
      </w:pPr>
      <w:r>
        <w:rPr>
          <w:rFonts w:hint="eastAsia" w:ascii="仿宋" w:hAnsi="仿宋" w:eastAsia="仿宋" w:cs="仿宋"/>
          <w:b/>
          <w:color w:val="000000"/>
          <w:sz w:val="28"/>
          <w:szCs w:val="28"/>
          <w:highlight w:val="none"/>
        </w:rPr>
        <w:t xml:space="preserve">1、从业人员、营业收入、资产总额填报上一年度数据，无上一年度数据的新成立企业可不填报。</w:t>
      </w:r>
      <w:r/>
    </w:p>
    <w:p>
      <w:pPr>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2、《中小企业声明函》查询渠道用微信搜索“中小企业规模类型自测小程序”。</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附件：</w:t>
      </w:r>
      <w:r/>
    </w:p>
    <w:p>
      <w:pPr>
        <w:pStyle w:val="1013"/>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mc:AlternateContent>
          <mc:Choice Requires="wpg">
            <w:drawing>
              <wp:inline xmlns:wp="http://schemas.openxmlformats.org/drawingml/2006/wordprocessingDrawing" distT="0" distB="0" distL="0" distR="0">
                <wp:extent cx="2764790" cy="5837555"/>
                <wp:effectExtent l="0" t="0" r="16510" b="10795"/>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20"/>
                        <a:srcRect l="0" t="4030" r="0" b="0"/>
                        <a:stretch/>
                      </pic:blipFill>
                      <pic:spPr bwMode="auto">
                        <a:xfrm>
                          <a:off x="0" y="0"/>
                          <a:ext cx="2764790" cy="5837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7.7pt;height:459.6pt;mso-wrap-distance-left:0.0pt;mso-wrap-distance-top:0.0pt;mso-wrap-distance-right:0.0pt;mso-wrap-distance-bottom:0.0pt;" stroked="f">
                <v:path textboxrect="0,0,0,0"/>
                <v:imagedata r:id="rId20" o:title=""/>
              </v:shape>
            </w:pict>
          </mc:Fallback>
        </mc:AlternateContent>
      </w:r>
      <w:r/>
    </w:p>
    <w:p>
      <w:pPr>
        <w:pStyle w:val="905"/>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br w:type="page" w:clear="all"/>
      </w:r>
      <w:r/>
    </w:p>
    <w:p>
      <w:pPr>
        <w:jc w:val="center"/>
        <w:spacing w:line="360" w:lineRule="auto"/>
        <w:rPr>
          <w:rFonts w:hint="eastAsia" w:ascii="仿宋" w:hAnsi="仿宋" w:eastAsia="仿宋" w:cs="仿宋"/>
          <w:b/>
          <w:bCs/>
          <w:color w:val="000000"/>
          <w:spacing w:val="6"/>
          <w:sz w:val="32"/>
          <w:szCs w:val="32"/>
          <w:highlight w:val="none"/>
        </w:rPr>
      </w:pPr>
      <w:r>
        <w:rPr>
          <w:rFonts w:hint="eastAsia" w:ascii="仿宋" w:hAnsi="仿宋" w:eastAsia="仿宋" w:cs="仿宋"/>
          <w:b/>
          <w:bCs/>
          <w:color w:val="000000"/>
          <w:sz w:val="32"/>
          <w:szCs w:val="32"/>
          <w:highlight w:val="none"/>
          <w:lang w:val="en-US" w:eastAsia="zh-CN"/>
        </w:rPr>
        <w:t xml:space="preserve">9</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rPr>
        <w:t xml:space="preserve">残疾人福利性单位声明函</w:t>
      </w:r>
      <w:r/>
    </w:p>
    <w:p>
      <w:pPr>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jc w:val="left"/>
        <w:spacing w:line="360" w:lineRule="auto"/>
        <w:widowControl/>
        <w:rPr>
          <w:rFonts w:hint="eastAsia" w:ascii="仿宋" w:hAnsi="仿宋" w:eastAsia="仿宋" w:cs="仿宋"/>
          <w:color w:val="000000"/>
          <w:sz w:val="32"/>
          <w:szCs w:val="32"/>
          <w:highlight w:val="none"/>
          <w:u w:val="single"/>
          <w:lang w:val="en-US" w:eastAsia="zh-CN"/>
        </w:rPr>
      </w:pPr>
      <w:r>
        <w:rPr>
          <w:rFonts w:hint="eastAsia" w:ascii="仿宋" w:hAnsi="仿宋" w:eastAsia="仿宋" w:cs="仿宋"/>
          <w:color w:val="000000"/>
          <w:sz w:val="32"/>
          <w:szCs w:val="32"/>
          <w:highlight w:val="none"/>
        </w:rPr>
        <w:t xml:space="preserve">项目名称：</w:t>
      </w:r>
      <w:r>
        <w:rPr>
          <w:rFonts w:hint="eastAsia" w:ascii="仿宋" w:hAnsi="仿宋" w:eastAsia="仿宋" w:cs="仿宋"/>
          <w:color w:val="000000"/>
          <w:sz w:val="32"/>
          <w:szCs w:val="32"/>
          <w:highlight w:val="none"/>
          <w:u w:val="none"/>
          <w:lang w:eastAsia="zh-CN"/>
        </w:rPr>
        <w:t xml:space="preserve">2025年贾汪城区垃圾分类收集房采购项目</w:t>
      </w:r>
      <w:r/>
    </w:p>
    <w:p>
      <w:pPr>
        <w:jc w:val="left"/>
        <w:spacing w:line="360" w:lineRule="auto"/>
        <w:widowControl/>
        <w:rPr>
          <w:rFonts w:hint="eastAsia" w:ascii="仿宋" w:hAnsi="仿宋" w:eastAsia="仿宋" w:cs="仿宋"/>
          <w:color w:val="000000"/>
          <w:sz w:val="32"/>
          <w:szCs w:val="32"/>
          <w:highlight w:val="none"/>
          <w:u w:val="single"/>
          <w:lang w:val="en-US" w:eastAsia="zh-CN"/>
        </w:rPr>
      </w:pPr>
      <w:r>
        <w:rPr>
          <w:rFonts w:hint="eastAsia" w:ascii="仿宋" w:hAnsi="仿宋" w:eastAsia="仿宋" w:cs="仿宋"/>
          <w:color w:val="000000"/>
          <w:sz w:val="32"/>
          <w:szCs w:val="32"/>
          <w:highlight w:val="none"/>
        </w:rPr>
        <w:t xml:space="preserve">项目编号：</w:t>
      </w:r>
      <w:r>
        <w:rPr>
          <w:rFonts w:hint="eastAsia" w:ascii="仿宋" w:hAnsi="仿宋" w:eastAsia="仿宋" w:cs="仿宋"/>
          <w:color w:val="000000"/>
          <w:sz w:val="28"/>
          <w:szCs w:val="28"/>
          <w:highlight w:val="none"/>
        </w:rPr>
        <w:t xml:space="preserve">JSZC-320305-HKJT-G2025-0021</w:t>
      </w:r>
      <w:r>
        <w:rPr>
          <w:rFonts w:hint="eastAsia" w:ascii="仿宋" w:hAnsi="仿宋" w:eastAsia="仿宋" w:cs="仿宋"/>
          <w:color w:val="000000"/>
          <w:sz w:val="32"/>
          <w:szCs w:val="32"/>
          <w:highlight w:val="none"/>
          <w:lang w:val="en-US" w:eastAsia="zh-CN"/>
        </w:rPr>
        <w:t xml:space="preserve"> </w:t>
      </w:r>
      <w:r/>
    </w:p>
    <w:p>
      <w:pPr>
        <w:ind w:firstLine="504"/>
        <w:jc w:val="left"/>
        <w:spacing w:line="360" w:lineRule="auto"/>
        <w:rPr>
          <w:rFonts w:hint="eastAsia" w:ascii="仿宋" w:hAnsi="仿宋" w:eastAsia="仿宋" w:cs="仿宋"/>
          <w:color w:val="000000"/>
          <w:spacing w:val="6"/>
          <w:sz w:val="32"/>
          <w:szCs w:val="32"/>
          <w:highlight w:val="none"/>
        </w:rPr>
      </w:pPr>
      <w:r>
        <w:rPr>
          <w:rFonts w:hint="eastAsia" w:ascii="仿宋" w:hAnsi="仿宋" w:eastAsia="仿宋" w:cs="仿宋"/>
          <w:color w:val="000000"/>
          <w:spacing w:val="6"/>
          <w:sz w:val="32"/>
          <w:szCs w:val="32"/>
          <w:highlight w:val="none"/>
        </w:rPr>
      </w:r>
      <w:r/>
    </w:p>
    <w:p>
      <w:pPr>
        <w:ind w:firstLine="504"/>
        <w:jc w:val="left"/>
        <w:spacing w:line="360" w:lineRule="auto"/>
        <w:rPr>
          <w:rFonts w:hint="eastAsia" w:ascii="仿宋" w:hAnsi="仿宋" w:eastAsia="仿宋" w:cs="仿宋"/>
          <w:color w:val="000000"/>
          <w:spacing w:val="6"/>
          <w:sz w:val="32"/>
          <w:szCs w:val="32"/>
          <w:highlight w:val="none"/>
        </w:rPr>
      </w:pPr>
      <w:r>
        <w:rPr>
          <w:rFonts w:hint="eastAsia" w:ascii="仿宋" w:hAnsi="仿宋" w:eastAsia="仿宋" w:cs="仿宋"/>
          <w:color w:val="000000"/>
          <w:spacing w:val="6"/>
          <w:sz w:val="32"/>
          <w:szCs w:val="32"/>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32"/>
          <w:szCs w:val="32"/>
          <w:highlight w:val="none"/>
        </w:rPr>
        <w:t xml:space="preserve">〔2017〕141</w:t>
      </w:r>
      <w:r>
        <w:rPr>
          <w:rFonts w:hint="eastAsia" w:ascii="仿宋" w:hAnsi="仿宋" w:eastAsia="仿宋" w:cs="仿宋"/>
          <w:color w:val="000000"/>
          <w:spacing w:val="6"/>
          <w:sz w:val="32"/>
          <w:szCs w:val="32"/>
          <w:highlight w:val="none"/>
        </w:rPr>
        <w:t xml:space="preserve">号）的规定，本单位为符合条件的残疾人福利性单位，且本单位参加</w:t>
      </w:r>
      <w:r>
        <w:rPr>
          <w:rFonts w:hint="eastAsia" w:ascii="仿宋" w:hAnsi="仿宋" w:eastAsia="仿宋" w:cs="仿宋"/>
          <w:color w:val="000000"/>
          <w:sz w:val="32"/>
          <w:szCs w:val="32"/>
          <w:highlight w:val="none"/>
        </w:rPr>
        <w:t xml:space="preserve">______</w:t>
      </w:r>
      <w:r>
        <w:rPr>
          <w:rFonts w:hint="eastAsia" w:ascii="仿宋" w:hAnsi="仿宋" w:eastAsia="仿宋" w:cs="仿宋"/>
          <w:color w:val="000000"/>
          <w:spacing w:val="6"/>
          <w:sz w:val="32"/>
          <w:szCs w:val="32"/>
          <w:highlight w:val="none"/>
        </w:rPr>
        <w:t xml:space="preserve">单位的</w:t>
      </w:r>
      <w:r>
        <w:rPr>
          <w:rFonts w:hint="eastAsia" w:ascii="仿宋" w:hAnsi="仿宋" w:eastAsia="仿宋" w:cs="仿宋"/>
          <w:color w:val="000000"/>
          <w:sz w:val="32"/>
          <w:szCs w:val="32"/>
          <w:highlight w:val="none"/>
        </w:rPr>
        <w:t xml:space="preserve">______</w:t>
      </w:r>
      <w:r>
        <w:rPr>
          <w:rFonts w:hint="eastAsia" w:ascii="仿宋" w:hAnsi="仿宋" w:eastAsia="仿宋" w:cs="仿宋"/>
          <w:color w:val="000000"/>
          <w:spacing w:val="6"/>
          <w:sz w:val="32"/>
          <w:szCs w:val="3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hint="eastAsia" w:ascii="仿宋" w:hAnsi="仿宋" w:eastAsia="仿宋" w:cs="仿宋"/>
          <w:color w:val="000000"/>
          <w:spacing w:val="6"/>
          <w:sz w:val="32"/>
          <w:szCs w:val="32"/>
          <w:highlight w:val="none"/>
        </w:rPr>
      </w:pPr>
      <w:r>
        <w:rPr>
          <w:rFonts w:hint="eastAsia" w:ascii="仿宋" w:hAnsi="仿宋" w:eastAsia="仿宋" w:cs="仿宋"/>
          <w:color w:val="000000"/>
          <w:spacing w:val="6"/>
          <w:sz w:val="32"/>
          <w:szCs w:val="32"/>
          <w:highlight w:val="none"/>
        </w:rPr>
        <w:t xml:space="preserve">本单位对上述声明的真实性负责。如有虚假，将依法承担相应责任。</w:t>
      </w:r>
      <w:r/>
    </w:p>
    <w:p>
      <w:pPr>
        <w:ind w:firstLine="504"/>
        <w:spacing w:line="360" w:lineRule="auto"/>
        <w:rPr>
          <w:rFonts w:hint="eastAsia" w:ascii="仿宋" w:hAnsi="仿宋" w:eastAsia="仿宋" w:cs="仿宋"/>
          <w:color w:val="000000"/>
          <w:spacing w:val="6"/>
          <w:sz w:val="32"/>
          <w:szCs w:val="32"/>
          <w:highlight w:val="none"/>
        </w:rPr>
      </w:pPr>
      <w:r>
        <w:rPr>
          <w:rFonts w:hint="eastAsia" w:ascii="仿宋" w:hAnsi="仿宋" w:eastAsia="仿宋" w:cs="仿宋"/>
          <w:color w:val="000000"/>
          <w:spacing w:val="6"/>
          <w:sz w:val="32"/>
          <w:szCs w:val="32"/>
          <w:highlight w:val="none"/>
        </w:rPr>
      </w:r>
      <w:r/>
    </w:p>
    <w:p>
      <w:pPr>
        <w:ind w:firstLine="504"/>
        <w:spacing w:line="360" w:lineRule="auto"/>
        <w:rPr>
          <w:rFonts w:hint="eastAsia" w:ascii="仿宋" w:hAnsi="仿宋" w:eastAsia="仿宋" w:cs="仿宋"/>
          <w:color w:val="000000"/>
          <w:spacing w:val="6"/>
          <w:sz w:val="32"/>
          <w:szCs w:val="32"/>
          <w:highlight w:val="none"/>
        </w:rPr>
      </w:pPr>
      <w:r>
        <w:rPr>
          <w:rFonts w:hint="eastAsia" w:ascii="仿宋" w:hAnsi="仿宋" w:eastAsia="仿宋" w:cs="仿宋"/>
          <w:color w:val="000000"/>
          <w:spacing w:val="6"/>
          <w:sz w:val="32"/>
          <w:szCs w:val="32"/>
          <w:highlight w:val="none"/>
        </w:rPr>
      </w:r>
      <w:r/>
    </w:p>
    <w:p>
      <w:pPr>
        <w:ind w:firstLine="360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投标人：</w:t>
      </w:r>
      <w:r>
        <w:rPr>
          <w:rFonts w:hint="eastAsia" w:ascii="仿宋" w:hAnsi="仿宋" w:eastAsia="仿宋" w:cs="仿宋"/>
          <w:color w:val="000000"/>
          <w:sz w:val="32"/>
          <w:szCs w:val="32"/>
          <w:highlight w:val="none"/>
          <w:u w:val="single"/>
        </w:rPr>
        <w:t xml:space="preserve">           </w:t>
      </w:r>
      <w:r>
        <w:rPr>
          <w:rFonts w:hint="eastAsia" w:ascii="仿宋" w:hAnsi="仿宋" w:eastAsia="仿宋" w:cs="仿宋"/>
          <w:color w:val="000000"/>
          <w:sz w:val="32"/>
          <w:szCs w:val="32"/>
          <w:highlight w:val="none"/>
        </w:rPr>
        <w:t xml:space="preserve">（电子签章）</w:t>
      </w:r>
      <w:r/>
    </w:p>
    <w:p>
      <w:pPr>
        <w:ind w:firstLine="48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w:t>
      </w:r>
      <w:r/>
    </w:p>
    <w:p>
      <w:pPr>
        <w:ind w:firstLine="3600"/>
        <w:spacing w:line="36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日期：   年  月  日</w:t>
      </w:r>
      <w:r/>
    </w:p>
    <w:p>
      <w:pPr>
        <w:ind w:firstLine="480"/>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ind w:firstLine="480"/>
        <w:jc w:val="left"/>
        <w:spacing w:line="360" w:lineRule="auto"/>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33"/>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rPr>
          <w:rFonts w:hint="eastAsia"/>
        </w:rPr>
      </w:pPr>
      <w:r>
        <w:rPr>
          <w:rFonts w:hint="eastAsia"/>
        </w:rPr>
      </w:r>
      <w:r/>
    </w:p>
    <w:p>
      <w:pPr>
        <w:pStyle w:val="900"/>
        <w:ind w:firstLine="0"/>
        <w:jc w:val="center"/>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1</w:t>
      </w:r>
      <w:r>
        <w:rPr>
          <w:rFonts w:hint="eastAsia" w:ascii="仿宋" w:hAnsi="仿宋" w:eastAsia="仿宋" w:cs="仿宋"/>
          <w:b/>
          <w:bCs/>
          <w:color w:val="000000"/>
          <w:sz w:val="32"/>
          <w:szCs w:val="32"/>
          <w:highlight w:val="none"/>
          <w:lang w:val="en-US" w:eastAsia="zh-CN"/>
        </w:rPr>
        <w:t xml:space="preserve">0</w:t>
      </w:r>
      <w:r>
        <w:rPr>
          <w:rFonts w:hint="eastAsia" w:ascii="仿宋" w:hAnsi="仿宋" w:eastAsia="仿宋" w:cs="仿宋"/>
          <w:b/>
          <w:bCs/>
          <w:color w:val="000000"/>
          <w:sz w:val="32"/>
          <w:szCs w:val="32"/>
          <w:highlight w:val="none"/>
          <w:lang w:eastAsia="zh-CN"/>
        </w:rPr>
        <w:t xml:space="preserve">、</w:t>
      </w:r>
      <w:r>
        <w:rPr>
          <w:rFonts w:hint="eastAsia" w:ascii="仿宋" w:hAnsi="仿宋" w:eastAsia="仿宋" w:cs="仿宋"/>
          <w:b/>
          <w:bCs/>
          <w:color w:val="000000"/>
          <w:sz w:val="32"/>
          <w:szCs w:val="32"/>
          <w:highlight w:val="none"/>
        </w:rPr>
        <w:t xml:space="preserve">预付款保函支付条款</w:t>
      </w:r>
      <w:r/>
    </w:p>
    <w:p>
      <w:pPr>
        <w:ind w:firstLine="482"/>
        <w:spacing w:line="36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ind w:firstLine="482"/>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付款条件一：提交预付款保函的</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（1）合同签订且乙方向甲方出具预付款保函后个</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工作日内，甲方应支付合同价款的百分之</w:t>
      </w:r>
      <w:r>
        <w:rPr>
          <w:rFonts w:hint="eastAsia" w:ascii="仿宋" w:hAnsi="仿宋" w:eastAsia="仿宋" w:cs="仿宋"/>
          <w:color w:val="000000"/>
          <w:sz w:val="28"/>
          <w:szCs w:val="28"/>
          <w:highlight w:val="none"/>
          <w:u w:val="single"/>
        </w:rPr>
        <w:t xml:space="preserve">  XX  </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 XX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小写￥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（2）验收合格后</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个工作日内，甲方应支付合同价款的百分之</w:t>
      </w:r>
      <w:r>
        <w:rPr>
          <w:rFonts w:hint="eastAsia" w:ascii="仿宋" w:hAnsi="仿宋" w:eastAsia="仿宋" w:cs="仿宋"/>
          <w:color w:val="000000"/>
          <w:sz w:val="28"/>
          <w:szCs w:val="28"/>
          <w:highlight w:val="none"/>
          <w:u w:val="single"/>
        </w:rPr>
        <w:t xml:space="preserve"> XX </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XX</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小写￥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大写：人民币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ind w:firstLine="482"/>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ind w:firstLine="482"/>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付款条件二：不提交预付款保函的</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（1）合同签订后</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个工作日内，甲方应支付合同价款的百分之</w:t>
      </w:r>
      <w:r>
        <w:rPr>
          <w:rFonts w:hint="eastAsia" w:ascii="仿宋" w:hAnsi="仿宋" w:eastAsia="仿宋" w:cs="仿宋"/>
          <w:color w:val="000000"/>
          <w:sz w:val="28"/>
          <w:szCs w:val="28"/>
          <w:highlight w:val="none"/>
          <w:u w:val="single"/>
        </w:rPr>
        <w:t xml:space="preserve"> XX </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 XX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小写￥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（2）验收合格后</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个工作日内，甲方应支付合同价款的百分之</w:t>
      </w:r>
      <w:r>
        <w:rPr>
          <w:rFonts w:hint="eastAsia" w:ascii="仿宋" w:hAnsi="仿宋" w:eastAsia="仿宋" w:cs="仿宋"/>
          <w:color w:val="000000"/>
          <w:sz w:val="28"/>
          <w:szCs w:val="28"/>
          <w:highlight w:val="none"/>
          <w:u w:val="single"/>
        </w:rPr>
        <w:t xml:space="preserve"> XX </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XX</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小写￥</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大写：人民币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ind w:firstLine="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p>
    <w:p>
      <w:pPr>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注：1、付款条件一中，出具预付款保函后支付的合同款应当与保函金额一致。</w:t>
      </w:r>
      <w:r/>
    </w:p>
    <w:p>
      <w:pPr>
        <w:numPr>
          <w:ilvl w:val="0"/>
          <w:numId w:val="5"/>
        </w:numPr>
        <w:ind w:firstLine="48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付款条件二中，预付款比例设定应符合《关于做好政府采购支持企业发展有关事项的通知》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苏财购（2020）52号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要求。</w:t>
      </w:r>
      <w:r/>
    </w:p>
    <w:sectPr>
      <w:headerReference w:type="default" r:id="rId12"/>
      <w:footerReference w:type="default" r:id="rId17"/>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仿宋">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16"/>
      </w:rPr>
      <w:framePr w:wrap="around" w:vAnchor="text" w:hAnchor="margin" w:xAlign="center" w:y="1"/>
    </w:pPr>
    <w:r>
      <w:fldChar w:fldCharType="begin"/>
    </w:r>
    <w:r>
      <w:rPr>
        <w:rStyle w:val="1016"/>
      </w:rPr>
      <w:instrText xml:space="preserve">PAGE  </w:instrText>
    </w:r>
    <w:r>
      <w:fldChar w:fldCharType="separate"/>
    </w:r>
    <w:r>
      <w:fldChar w:fldCharType="end"/>
    </w:r>
    <w:r/>
  </w:p>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- 1 -</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- 1 -</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6"/>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p>
    <w:pPr>
      <w:pStyle w:val="10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rFonts w:ascii="Times New Roman" w:hAnsi="Times New Roman" w:eastAsia="宋体" w:cs="Times New Roman"/>
        <w:i/>
        <w:iCs/>
        <w:sz w:val="18"/>
        <w:u w:val="single"/>
      </w:rPr>
    </w:pPr>
    <w:r>
      <w:rPr>
        <w:rFonts w:ascii="Times New Roman" w:hAnsi="Times New Roman" w:eastAsia="宋体" w:cs="Times New Roman"/>
        <w:i/>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973"/>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2"/>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next w:val="833"/>
    <w:link w:val="1185"/>
    <w:uiPriority w:val="0"/>
    <w:qFormat/>
    <w:pPr>
      <w:jc w:val="both"/>
      <w:widowControl w:val="off"/>
    </w:pPr>
    <w:rPr>
      <w:rFonts w:hint="default" w:ascii="Times New Roman" w:hAnsi="Times New Roman" w:eastAsia="宋体" w:cs="Times New Roman"/>
      <w:sz w:val="21"/>
      <w:szCs w:val="24"/>
      <w:lang w:eastAsia="zh-CN"/>
    </w:rPr>
  </w:style>
  <w:style w:type="paragraph" w:styleId="822">
    <w:name w:val="Heading 1"/>
    <w:basedOn w:val="821"/>
    <w:next w:val="821"/>
    <w:uiPriority w:val="9"/>
    <w:qFormat/>
    <w:pPr>
      <w:keepLines/>
      <w:keepNext/>
      <w:spacing w:before="480" w:after="200"/>
      <w:outlineLvl w:val="0"/>
    </w:pPr>
    <w:rPr>
      <w:rFonts w:ascii="Arial" w:hAnsi="Arial" w:eastAsia="Arial" w:cs="Arial"/>
      <w:sz w:val="40"/>
      <w:szCs w:val="40"/>
    </w:rPr>
  </w:style>
  <w:style w:type="paragraph" w:styleId="823">
    <w:name w:val="Heading 2"/>
    <w:basedOn w:val="821"/>
    <w:next w:val="821"/>
    <w:uiPriority w:val="9"/>
    <w:unhideWhenUsed/>
    <w:qFormat/>
    <w:pPr>
      <w:keepLines/>
      <w:keepNext/>
      <w:spacing w:before="360" w:after="200"/>
      <w:outlineLvl w:val="1"/>
    </w:pPr>
    <w:rPr>
      <w:rFonts w:ascii="Arial" w:hAnsi="Arial" w:eastAsia="Arial" w:cs="Arial"/>
      <w:sz w:val="34"/>
    </w:rPr>
  </w:style>
  <w:style w:type="paragraph" w:styleId="824">
    <w:name w:val="Heading 3"/>
    <w:basedOn w:val="821"/>
    <w:next w:val="821"/>
    <w:uiPriority w:val="9"/>
    <w:unhideWhenUsed/>
    <w:qFormat/>
    <w:pPr>
      <w:keepLines/>
      <w:keepNext/>
      <w:spacing w:before="320" w:after="200"/>
      <w:outlineLvl w:val="2"/>
    </w:pPr>
    <w:rPr>
      <w:rFonts w:ascii="Arial" w:hAnsi="Arial" w:eastAsia="Arial" w:cs="Arial"/>
      <w:sz w:val="30"/>
      <w:szCs w:val="30"/>
    </w:rPr>
  </w:style>
  <w:style w:type="paragraph" w:styleId="825">
    <w:name w:val="Heading 4"/>
    <w:basedOn w:val="821"/>
    <w:next w:val="821"/>
    <w:uiPriority w:val="9"/>
    <w:unhideWhenUsed/>
    <w:qFormat/>
    <w:pPr>
      <w:keepLines/>
      <w:keepNext/>
      <w:spacing w:before="320" w:after="200"/>
      <w:outlineLvl w:val="3"/>
    </w:pPr>
    <w:rPr>
      <w:rFonts w:ascii="Arial" w:hAnsi="Arial" w:eastAsia="Arial" w:cs="Arial"/>
      <w:b/>
      <w:bCs/>
      <w:sz w:val="26"/>
      <w:szCs w:val="26"/>
    </w:rPr>
  </w:style>
  <w:style w:type="paragraph" w:styleId="826">
    <w:name w:val="Heading 5"/>
    <w:basedOn w:val="821"/>
    <w:next w:val="821"/>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uiPriority w:val="9"/>
    <w:unhideWhenUsed/>
    <w:qFormat/>
    <w:pPr>
      <w:keepLines/>
      <w:keepNext/>
      <w:spacing w:before="320" w:after="200"/>
      <w:outlineLvl w:val="5"/>
    </w:pPr>
    <w:rPr>
      <w:rFonts w:ascii="Arial" w:hAnsi="Arial" w:eastAsia="Arial" w:cs="Arial"/>
      <w:b/>
      <w:bCs/>
      <w:sz w:val="22"/>
      <w:szCs w:val="22"/>
    </w:rPr>
  </w:style>
  <w:style w:type="paragraph" w:styleId="828">
    <w:name w:val="Heading 7"/>
    <w:basedOn w:val="821"/>
    <w:next w:val="821"/>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uiPriority w:val="9"/>
    <w:unhideWhenUsed/>
    <w:qFormat/>
    <w:pPr>
      <w:keepLines/>
      <w:keepNext/>
      <w:spacing w:before="320" w:after="200"/>
      <w:outlineLvl w:val="7"/>
    </w:pPr>
    <w:rPr>
      <w:rFonts w:ascii="Arial" w:hAnsi="Arial" w:eastAsia="Arial" w:cs="Arial"/>
      <w:i/>
      <w:iCs/>
      <w:sz w:val="22"/>
      <w:szCs w:val="22"/>
    </w:rPr>
  </w:style>
  <w:style w:type="paragraph" w:styleId="830">
    <w:name w:val="Heading 9"/>
    <w:basedOn w:val="821"/>
    <w:next w:val="821"/>
    <w:uiPriority w:val="9"/>
    <w:unhideWhenUsed/>
    <w:qFormat/>
    <w:pPr>
      <w:keepLines/>
      <w:keepNext/>
      <w:spacing w:before="320" w:after="200"/>
      <w:outlineLvl w:val="8"/>
    </w:pPr>
    <w:rPr>
      <w:rFonts w:ascii="Arial" w:hAnsi="Arial" w:eastAsia="Arial" w:cs="Arial"/>
      <w:i/>
      <w:iCs/>
      <w:sz w:val="21"/>
      <w:szCs w:val="21"/>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Layout w:type="fixed"/>
      <w:tblCellMar>
        <w:left w:w="108" w:type="dxa"/>
        <w:top w:w="0" w:type="dxa"/>
        <w:right w:w="108" w:type="dxa"/>
        <w:bottom w:w="0" w:type="dxa"/>
      </w:tblCellMar>
    </w:tblPr>
  </w:style>
  <w:style w:type="paragraph" w:styleId="833" w:customStyle="1">
    <w:name w:val="正文文本12"/>
    <w:basedOn w:val="821"/>
    <w:next w:val="821"/>
    <w:uiPriority w:val="99"/>
    <w:qFormat/>
    <w:pPr>
      <w:spacing w:after="120"/>
    </w:pPr>
  </w:style>
  <w:style w:type="paragraph" w:styleId="834">
    <w:name w:val="toc 7"/>
    <w:basedOn w:val="821"/>
    <w:next w:val="821"/>
    <w:uiPriority w:val="39"/>
    <w:unhideWhenUsed/>
    <w:qFormat/>
    <w:pPr>
      <w:ind w:left="1701" w:right="0" w:firstLine="0"/>
      <w:spacing w:after="57"/>
    </w:pPr>
  </w:style>
  <w:style w:type="paragraph" w:styleId="835">
    <w:name w:val="Caption"/>
    <w:basedOn w:val="821"/>
    <w:next w:val="8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6">
    <w:name w:val="Body Text Indent"/>
    <w:basedOn w:val="821"/>
    <w:next w:val="837"/>
    <w:uiPriority w:val="0"/>
    <w:qFormat/>
    <w:pPr>
      <w:ind w:left="420"/>
      <w:spacing w:after="120"/>
    </w:pPr>
  </w:style>
  <w:style w:type="paragraph" w:styleId="837">
    <w:name w:val="envelope return"/>
    <w:basedOn w:val="821"/>
    <w:uiPriority w:val="99"/>
    <w:qFormat/>
    <w:rPr>
      <w:rFonts w:ascii="Arial" w:hAnsi="Arial" w:cs="Arial"/>
    </w:rPr>
  </w:style>
  <w:style w:type="paragraph" w:styleId="838">
    <w:name w:val="Block Text"/>
    <w:basedOn w:val="821"/>
    <w:uiPriority w:val="99"/>
    <w:unhideWhenUsed/>
    <w:qFormat/>
    <w:pPr>
      <w:ind w:left="1440" w:right="1440"/>
      <w:spacing w:after="120"/>
    </w:pPr>
  </w:style>
  <w:style w:type="paragraph" w:styleId="839">
    <w:name w:val="toc 5"/>
    <w:basedOn w:val="821"/>
    <w:next w:val="821"/>
    <w:uiPriority w:val="39"/>
    <w:unhideWhenUsed/>
    <w:qFormat/>
    <w:pPr>
      <w:ind w:left="1134" w:right="0" w:firstLine="0"/>
      <w:spacing w:after="57"/>
    </w:pPr>
  </w:style>
  <w:style w:type="paragraph" w:styleId="840">
    <w:name w:val="toc 3"/>
    <w:basedOn w:val="821"/>
    <w:next w:val="821"/>
    <w:uiPriority w:val="39"/>
    <w:unhideWhenUsed/>
    <w:qFormat/>
    <w:pPr>
      <w:ind w:left="567" w:right="0" w:firstLine="0"/>
      <w:spacing w:after="57"/>
    </w:pPr>
  </w:style>
  <w:style w:type="paragraph" w:styleId="841">
    <w:name w:val="toc 8"/>
    <w:basedOn w:val="821"/>
    <w:next w:val="821"/>
    <w:uiPriority w:val="39"/>
    <w:unhideWhenUsed/>
    <w:qFormat/>
    <w:pPr>
      <w:ind w:left="1984" w:right="0" w:firstLine="0"/>
      <w:spacing w:after="57"/>
    </w:pPr>
  </w:style>
  <w:style w:type="paragraph" w:styleId="842">
    <w:name w:val="endnote text"/>
    <w:basedOn w:val="821"/>
    <w:uiPriority w:val="99"/>
    <w:semiHidden/>
    <w:unhideWhenUsed/>
    <w:qFormat/>
    <w:pPr>
      <w:spacing w:after="0" w:line="240" w:lineRule="auto"/>
    </w:pPr>
    <w:rPr>
      <w:sz w:val="20"/>
    </w:rPr>
  </w:style>
  <w:style w:type="paragraph" w:styleId="843">
    <w:name w:val="Footer"/>
    <w:basedOn w:val="821"/>
    <w:uiPriority w:val="99"/>
    <w:unhideWhenUsed/>
    <w:qFormat/>
    <w:pPr>
      <w:spacing w:after="0" w:line="240" w:lineRule="auto"/>
      <w:tabs>
        <w:tab w:val="center" w:pos="7143" w:leader="none"/>
        <w:tab w:val="right" w:pos="14287" w:leader="none"/>
      </w:tabs>
    </w:pPr>
  </w:style>
  <w:style w:type="paragraph" w:styleId="844">
    <w:name w:val="Body Text First Indent 2"/>
    <w:basedOn w:val="836"/>
    <w:next w:val="821"/>
    <w:uiPriority w:val="0"/>
    <w:qFormat/>
    <w:pPr>
      <w:ind w:left="0" w:firstLine="420"/>
      <w:spacing w:after="0" w:line="360" w:lineRule="auto"/>
    </w:pPr>
    <w:rPr>
      <w:rFonts w:ascii="宋体" w:hAnsi="宋体"/>
      <w:sz w:val="20"/>
      <w:szCs w:val="20"/>
    </w:rPr>
  </w:style>
  <w:style w:type="paragraph" w:styleId="845">
    <w:name w:val="Header"/>
    <w:basedOn w:val="821"/>
    <w:uiPriority w:val="99"/>
    <w:unhideWhenUsed/>
    <w:qFormat/>
    <w:pPr>
      <w:spacing w:after="0" w:line="240" w:lineRule="auto"/>
      <w:tabs>
        <w:tab w:val="center" w:pos="7143" w:leader="none"/>
        <w:tab w:val="right" w:pos="14287" w:leader="none"/>
      </w:tabs>
    </w:pPr>
  </w:style>
  <w:style w:type="paragraph" w:styleId="846">
    <w:name w:val="toc 1"/>
    <w:basedOn w:val="821"/>
    <w:next w:val="821"/>
    <w:uiPriority w:val="39"/>
    <w:unhideWhenUsed/>
    <w:qFormat/>
    <w:pPr>
      <w:ind w:left="0" w:right="0" w:firstLine="0"/>
      <w:spacing w:after="57"/>
    </w:pPr>
  </w:style>
  <w:style w:type="paragraph" w:styleId="847">
    <w:name w:val="toc 4"/>
    <w:basedOn w:val="821"/>
    <w:next w:val="821"/>
    <w:uiPriority w:val="39"/>
    <w:unhideWhenUsed/>
    <w:qFormat/>
    <w:pPr>
      <w:ind w:left="850" w:right="0" w:firstLine="0"/>
      <w:spacing w:after="57"/>
    </w:pPr>
  </w:style>
  <w:style w:type="paragraph" w:styleId="848">
    <w:name w:val="Subtitle"/>
    <w:basedOn w:val="821"/>
    <w:next w:val="821"/>
    <w:uiPriority w:val="11"/>
    <w:qFormat/>
    <w:pPr>
      <w:spacing w:before="200" w:after="200"/>
    </w:pPr>
    <w:rPr>
      <w:sz w:val="24"/>
      <w:szCs w:val="24"/>
    </w:rPr>
  </w:style>
  <w:style w:type="paragraph" w:styleId="849">
    <w:name w:val="footnote text"/>
    <w:basedOn w:val="821"/>
    <w:uiPriority w:val="99"/>
    <w:semiHidden/>
    <w:unhideWhenUsed/>
    <w:qFormat/>
    <w:pPr>
      <w:spacing w:after="40" w:line="240" w:lineRule="auto"/>
    </w:pPr>
    <w:rPr>
      <w:sz w:val="18"/>
    </w:rPr>
  </w:style>
  <w:style w:type="paragraph" w:styleId="850">
    <w:name w:val="toc 6"/>
    <w:basedOn w:val="821"/>
    <w:next w:val="821"/>
    <w:uiPriority w:val="39"/>
    <w:unhideWhenUsed/>
    <w:qFormat/>
    <w:pPr>
      <w:ind w:left="1417" w:right="0" w:firstLine="0"/>
      <w:spacing w:after="57"/>
    </w:pPr>
  </w:style>
  <w:style w:type="paragraph" w:styleId="851">
    <w:name w:val="table of figures"/>
    <w:basedOn w:val="821"/>
    <w:next w:val="821"/>
    <w:uiPriority w:val="99"/>
    <w:unhideWhenUsed/>
    <w:qFormat/>
    <w:pPr>
      <w:spacing w:after="0" w:afterAutospacing="0"/>
    </w:pPr>
  </w:style>
  <w:style w:type="paragraph" w:styleId="852">
    <w:name w:val="toc 2"/>
    <w:basedOn w:val="821"/>
    <w:next w:val="821"/>
    <w:uiPriority w:val="39"/>
    <w:unhideWhenUsed/>
    <w:qFormat/>
    <w:pPr>
      <w:ind w:left="283" w:right="0" w:firstLine="0"/>
      <w:spacing w:after="57"/>
    </w:pPr>
  </w:style>
  <w:style w:type="paragraph" w:styleId="853">
    <w:name w:val="toc 9"/>
    <w:basedOn w:val="821"/>
    <w:next w:val="821"/>
    <w:uiPriority w:val="39"/>
    <w:unhideWhenUsed/>
    <w:qFormat/>
    <w:pPr>
      <w:ind w:left="2268" w:right="0" w:firstLine="0"/>
      <w:spacing w:after="57"/>
    </w:pPr>
  </w:style>
  <w:style w:type="paragraph" w:styleId="854">
    <w:name w:val="Title"/>
    <w:basedOn w:val="821"/>
    <w:next w:val="821"/>
    <w:uiPriority w:val="10"/>
    <w:qFormat/>
    <w:pPr>
      <w:contextualSpacing/>
      <w:spacing w:before="300" w:after="200"/>
    </w:pPr>
    <w:rPr>
      <w:sz w:val="48"/>
      <w:szCs w:val="48"/>
    </w:rPr>
  </w:style>
  <w:style w:type="character" w:styleId="855">
    <w:name w:val="endnote reference"/>
    <w:uiPriority w:val="99"/>
    <w:semiHidden/>
    <w:unhideWhenUsed/>
    <w:qFormat/>
    <w:rPr>
      <w:vertAlign w:val="superscript"/>
    </w:rPr>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footnote reference"/>
    <w:uiPriority w:val="99"/>
    <w:unhideWhenUsed/>
    <w:qFormat/>
    <w:rPr>
      <w:vertAlign w:val="superscript"/>
    </w:rPr>
  </w:style>
  <w:style w:type="table" w:styleId="8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59" w:customStyle="1">
    <w:name w:val="标题 2 Char"/>
    <w:link w:val="860"/>
    <w:uiPriority w:val="9"/>
    <w:qFormat/>
    <w:rPr>
      <w:rFonts w:ascii="Arial" w:hAnsi="Arial" w:eastAsia="Arial" w:cs="Arial"/>
      <w:sz w:val="34"/>
    </w:rPr>
  </w:style>
  <w:style w:type="paragraph" w:styleId="860" w:customStyle="1">
    <w:name w:val="标题 21"/>
    <w:basedOn w:val="821"/>
    <w:next w:val="821"/>
    <w:link w:val="859"/>
    <w:uiPriority w:val="9"/>
    <w:qFormat/>
    <w:pPr>
      <w:keepLines/>
      <w:keepNext/>
      <w:spacing w:before="360" w:after="200"/>
      <w:outlineLvl w:val="1"/>
    </w:pPr>
    <w:rPr>
      <w:rFonts w:ascii="Arial" w:hAnsi="Arial" w:eastAsia="Arial" w:cs="Arial"/>
      <w:sz w:val="34"/>
    </w:rPr>
  </w:style>
  <w:style w:type="paragraph" w:styleId="861" w:customStyle="1">
    <w:name w:val="目录 11"/>
    <w:basedOn w:val="862"/>
    <w:next w:val="821"/>
    <w:uiPriority w:val="0"/>
    <w:qFormat/>
    <w:pPr>
      <w:jc w:val="left"/>
      <w:spacing w:after="100" w:line="259" w:lineRule="auto"/>
      <w:widowControl/>
    </w:pPr>
    <w:rPr>
      <w:rFonts w:ascii="Calibri" w:hAnsi="Calibri"/>
      <w:sz w:val="22"/>
      <w:szCs w:val="22"/>
    </w:rPr>
  </w:style>
  <w:style w:type="paragraph" w:styleId="862" w:customStyle="1">
    <w:name w:val="正文11"/>
    <w:next w:val="863"/>
    <w:uiPriority w:val="0"/>
    <w:qFormat/>
    <w:pPr>
      <w:jc w:val="both"/>
      <w:widowControl w:val="off"/>
    </w:pPr>
    <w:rPr>
      <w:rFonts w:hint="default" w:ascii="Times New Roman" w:hAnsi="Times New Roman" w:eastAsia="宋体" w:cs="Times New Roman"/>
      <w:sz w:val="21"/>
      <w:szCs w:val="24"/>
      <w:lang w:eastAsia="zh-CN"/>
    </w:rPr>
  </w:style>
  <w:style w:type="paragraph" w:styleId="863" w:customStyle="1">
    <w:name w:val="文本块1"/>
    <w:basedOn w:val="864"/>
    <w:uiPriority w:val="6"/>
    <w:qFormat/>
    <w:pPr>
      <w:ind w:left="256" w:right="6" w:firstLine="624"/>
    </w:pPr>
    <w:rPr>
      <w:rFonts w:eastAsia="仿宋"/>
      <w:sz w:val="28"/>
      <w:szCs w:val="20"/>
    </w:rPr>
  </w:style>
  <w:style w:type="paragraph" w:styleId="864" w:customStyle="1">
    <w:name w:val="正文111"/>
    <w:next w:val="865"/>
    <w:uiPriority w:val="0"/>
    <w:qFormat/>
    <w:pPr>
      <w:jc w:val="both"/>
      <w:widowControl w:val="off"/>
    </w:pPr>
    <w:rPr>
      <w:rFonts w:hint="default" w:ascii="Times New Roman" w:hAnsi="Times New Roman" w:eastAsia="宋体" w:cs="Times New Roman"/>
      <w:sz w:val="21"/>
      <w:szCs w:val="24"/>
      <w:lang w:eastAsia="zh-CN"/>
    </w:rPr>
  </w:style>
  <w:style w:type="paragraph" w:styleId="865" w:customStyle="1">
    <w:name w:val="正文文本缩进1"/>
    <w:basedOn w:val="821"/>
    <w:next w:val="866"/>
    <w:uiPriority w:val="99"/>
    <w:unhideWhenUsed/>
    <w:qFormat/>
    <w:pPr>
      <w:ind w:firstLine="425"/>
      <w:spacing w:line="360" w:lineRule="auto"/>
    </w:pPr>
  </w:style>
  <w:style w:type="paragraph" w:styleId="866" w:customStyle="1">
    <w:name w:val="寄信人地址1"/>
    <w:basedOn w:val="821"/>
    <w:uiPriority w:val="99"/>
    <w:unhideWhenUsed/>
    <w:qFormat/>
    <w:rPr>
      <w:rFonts w:ascii="Arial" w:hAnsi="Arial"/>
    </w:rPr>
  </w:style>
  <w:style w:type="paragraph" w:styleId="867" w:customStyle="1">
    <w:name w:val="首行缩进"/>
    <w:basedOn w:val="868"/>
    <w:uiPriority w:val="0"/>
    <w:qFormat/>
    <w:pPr>
      <w:ind w:firstLine="480"/>
    </w:pPr>
    <w:rPr>
      <w:sz w:val="20"/>
      <w:szCs w:val="20"/>
      <w:lang w:val="zh-CN"/>
    </w:rPr>
  </w:style>
  <w:style w:type="paragraph" w:styleId="868" w:customStyle="1">
    <w:name w:val="正文1"/>
    <w:basedOn w:val="864"/>
    <w:next w:val="861"/>
    <w:uiPriority w:val="0"/>
    <w:qFormat/>
    <w:rPr>
      <w:rFonts w:ascii="Times New Roman" w:hAnsi="Times New Roman" w:eastAsia="宋体" w:cs="Times New Roman"/>
      <w:lang w:val="en-US" w:eastAsia="zh-CN" w:bidi="ar-SA"/>
    </w:rPr>
  </w:style>
  <w:style w:type="paragraph" w:styleId="869" w:customStyle="1">
    <w:name w:val="标题 212"/>
    <w:basedOn w:val="821"/>
    <w:next w:val="821"/>
    <w:uiPriority w:val="6"/>
    <w:qFormat/>
    <w:pPr>
      <w:jc w:val="center"/>
      <w:keepLines/>
      <w:keepNext/>
      <w:widowControl w:val="off"/>
      <w:outlineLvl w:val="1"/>
    </w:pPr>
    <w:rPr>
      <w:rFonts w:ascii="宋体" w:hAnsi="宋体" w:eastAsia="楷体_GB2312" w:cs="宋体"/>
      <w:b/>
      <w:sz w:val="44"/>
    </w:rPr>
  </w:style>
  <w:style w:type="character" w:styleId="870" w:customStyle="1">
    <w:name w:val="默认段落字体12"/>
    <w:link w:val="821"/>
    <w:uiPriority w:val="1"/>
    <w:unhideWhenUsed/>
    <w:qFormat/>
  </w:style>
  <w:style w:type="table" w:styleId="871" w:customStyle="1">
    <w:name w:val="普通表格12"/>
    <w:uiPriority w:val="99"/>
    <w:unhideWhenUsed/>
    <w:qFormat/>
    <w:tblPr/>
  </w:style>
  <w:style w:type="paragraph" w:styleId="872" w:customStyle="1">
    <w:name w:val="目录 712"/>
    <w:basedOn w:val="821"/>
    <w:next w:val="821"/>
    <w:uiPriority w:val="39"/>
    <w:unhideWhenUsed/>
    <w:qFormat/>
    <w:pPr>
      <w:ind w:left="1701" w:right="0" w:firstLine="0"/>
      <w:spacing w:after="57"/>
    </w:pPr>
  </w:style>
  <w:style w:type="paragraph" w:styleId="873" w:customStyle="1">
    <w:name w:val="索引 511"/>
    <w:basedOn w:val="821"/>
    <w:next w:val="821"/>
    <w:uiPriority w:val="0"/>
    <w:qFormat/>
    <w:pPr>
      <w:ind w:left="798"/>
    </w:pPr>
    <w:rPr>
      <w:rFonts w:ascii="Calibri" w:hAnsi="Calibri"/>
      <w:sz w:val="21"/>
    </w:rPr>
  </w:style>
  <w:style w:type="paragraph" w:styleId="874" w:customStyle="1">
    <w:name w:val="批注文字12"/>
    <w:basedOn w:val="821"/>
    <w:uiPriority w:val="99"/>
    <w:unhideWhenUsed/>
    <w:qFormat/>
    <w:pPr>
      <w:jc w:val="left"/>
    </w:pPr>
  </w:style>
  <w:style w:type="paragraph" w:styleId="875" w:customStyle="1">
    <w:name w:val="正文文本112"/>
    <w:basedOn w:val="821"/>
    <w:next w:val="821"/>
    <w:uiPriority w:val="0"/>
    <w:qFormat/>
  </w:style>
  <w:style w:type="paragraph" w:styleId="876" w:customStyle="1">
    <w:name w:val="正文文本缩进11"/>
    <w:basedOn w:val="821"/>
    <w:uiPriority w:val="0"/>
    <w:qFormat/>
    <w:pPr>
      <w:ind w:left="420"/>
      <w:spacing w:after="120"/>
    </w:pPr>
    <w:rPr>
      <w:rFonts w:ascii="Calibri" w:hAnsi="Calibri"/>
    </w:rPr>
  </w:style>
  <w:style w:type="paragraph" w:styleId="877" w:customStyle="1">
    <w:name w:val="文本块13"/>
    <w:basedOn w:val="821"/>
    <w:uiPriority w:val="0"/>
    <w:qFormat/>
    <w:pPr>
      <w:ind w:left="420" w:right="33"/>
      <w:jc w:val="left"/>
    </w:pPr>
    <w:rPr>
      <w:sz w:val="24"/>
      <w:szCs w:val="20"/>
    </w:rPr>
  </w:style>
  <w:style w:type="paragraph" w:styleId="878" w:customStyle="1">
    <w:name w:val="目录 512"/>
    <w:basedOn w:val="821"/>
    <w:next w:val="821"/>
    <w:uiPriority w:val="39"/>
    <w:unhideWhenUsed/>
    <w:qFormat/>
    <w:pPr>
      <w:ind w:left="1134" w:right="0" w:firstLine="0"/>
      <w:spacing w:after="57"/>
    </w:pPr>
  </w:style>
  <w:style w:type="paragraph" w:styleId="879" w:customStyle="1">
    <w:name w:val="目录 312"/>
    <w:basedOn w:val="821"/>
    <w:next w:val="821"/>
    <w:uiPriority w:val="39"/>
    <w:unhideWhenUsed/>
    <w:qFormat/>
    <w:pPr>
      <w:ind w:left="567" w:right="0" w:firstLine="0"/>
      <w:spacing w:after="57"/>
    </w:pPr>
  </w:style>
  <w:style w:type="paragraph" w:styleId="880" w:customStyle="1">
    <w:name w:val="目录 812"/>
    <w:basedOn w:val="821"/>
    <w:next w:val="821"/>
    <w:uiPriority w:val="39"/>
    <w:unhideWhenUsed/>
    <w:qFormat/>
    <w:pPr>
      <w:ind w:left="1984" w:right="0" w:firstLine="0"/>
      <w:spacing w:after="57"/>
    </w:pPr>
  </w:style>
  <w:style w:type="paragraph" w:styleId="881" w:customStyle="1">
    <w:name w:val="尾注文本12"/>
    <w:basedOn w:val="821"/>
    <w:uiPriority w:val="99"/>
    <w:unhideWhenUsed/>
    <w:qFormat/>
    <w:pPr>
      <w:spacing w:after="0" w:line="240" w:lineRule="auto"/>
    </w:pPr>
    <w:rPr>
      <w:sz w:val="20"/>
    </w:rPr>
  </w:style>
  <w:style w:type="paragraph" w:styleId="882" w:customStyle="1">
    <w:name w:val="目录 12"/>
    <w:basedOn w:val="821"/>
    <w:next w:val="821"/>
    <w:uiPriority w:val="39"/>
    <w:unhideWhenUsed/>
    <w:qFormat/>
    <w:pPr>
      <w:ind w:left="0" w:right="0" w:firstLine="0"/>
      <w:spacing w:after="57"/>
    </w:pPr>
  </w:style>
  <w:style w:type="paragraph" w:styleId="883" w:customStyle="1">
    <w:name w:val="目录 412"/>
    <w:basedOn w:val="821"/>
    <w:next w:val="821"/>
    <w:uiPriority w:val="39"/>
    <w:unhideWhenUsed/>
    <w:qFormat/>
    <w:pPr>
      <w:ind w:left="850" w:right="0" w:firstLine="0"/>
      <w:spacing w:after="57"/>
    </w:pPr>
  </w:style>
  <w:style w:type="paragraph" w:styleId="884" w:customStyle="1">
    <w:name w:val="副标题12"/>
    <w:basedOn w:val="821"/>
    <w:next w:val="821"/>
    <w:uiPriority w:val="11"/>
    <w:qFormat/>
    <w:pPr>
      <w:spacing w:before="200" w:after="200"/>
    </w:pPr>
    <w:rPr>
      <w:sz w:val="24"/>
      <w:szCs w:val="24"/>
    </w:rPr>
  </w:style>
  <w:style w:type="paragraph" w:styleId="885" w:customStyle="1">
    <w:name w:val="脚注文本12"/>
    <w:basedOn w:val="821"/>
    <w:next w:val="873"/>
    <w:uiPriority w:val="99"/>
    <w:unhideWhenUsed/>
    <w:qFormat/>
    <w:pPr>
      <w:spacing w:after="40" w:line="240" w:lineRule="auto"/>
    </w:pPr>
    <w:rPr>
      <w:sz w:val="18"/>
    </w:rPr>
  </w:style>
  <w:style w:type="paragraph" w:styleId="886" w:customStyle="1">
    <w:name w:val="目录 612"/>
    <w:basedOn w:val="821"/>
    <w:next w:val="821"/>
    <w:uiPriority w:val="39"/>
    <w:unhideWhenUsed/>
    <w:qFormat/>
    <w:pPr>
      <w:ind w:left="1417" w:right="0" w:firstLine="0"/>
      <w:spacing w:after="57"/>
    </w:pPr>
  </w:style>
  <w:style w:type="paragraph" w:styleId="887" w:customStyle="1">
    <w:name w:val="图表目录12"/>
    <w:basedOn w:val="821"/>
    <w:next w:val="821"/>
    <w:uiPriority w:val="99"/>
    <w:unhideWhenUsed/>
    <w:qFormat/>
    <w:pPr>
      <w:spacing w:after="0" w:afterAutospacing="0"/>
    </w:pPr>
  </w:style>
  <w:style w:type="paragraph" w:styleId="888" w:customStyle="1">
    <w:name w:val="目录 212"/>
    <w:basedOn w:val="821"/>
    <w:next w:val="821"/>
    <w:uiPriority w:val="39"/>
    <w:unhideWhenUsed/>
    <w:qFormat/>
    <w:pPr>
      <w:ind w:left="283" w:right="0" w:firstLine="0"/>
      <w:spacing w:after="57"/>
    </w:pPr>
  </w:style>
  <w:style w:type="paragraph" w:styleId="889" w:customStyle="1">
    <w:name w:val="目录 912"/>
    <w:basedOn w:val="821"/>
    <w:next w:val="821"/>
    <w:uiPriority w:val="39"/>
    <w:unhideWhenUsed/>
    <w:qFormat/>
    <w:pPr>
      <w:ind w:left="2268" w:right="0" w:firstLine="0"/>
      <w:spacing w:after="57"/>
    </w:pPr>
  </w:style>
  <w:style w:type="paragraph" w:styleId="890" w:customStyle="1">
    <w:name w:val="标题12"/>
    <w:basedOn w:val="821"/>
    <w:next w:val="821"/>
    <w:uiPriority w:val="10"/>
    <w:qFormat/>
    <w:pPr>
      <w:contextualSpacing/>
      <w:spacing w:before="300" w:after="200"/>
    </w:pPr>
    <w:rPr>
      <w:sz w:val="48"/>
      <w:szCs w:val="48"/>
    </w:rPr>
  </w:style>
  <w:style w:type="table" w:styleId="891" w:customStyle="1">
    <w:name w:val="网格型12"/>
    <w:uiPriority w:val="59"/>
    <w:qFormat/>
    <w:pPr>
      <w:spacing w:after="0" w:line="240" w:lineRule="auto"/>
    </w:pPr>
    <w:tblPr/>
  </w:style>
  <w:style w:type="character" w:styleId="892" w:customStyle="1">
    <w:name w:val="尾注引用12"/>
    <w:link w:val="821"/>
    <w:uiPriority w:val="99"/>
    <w:unhideWhenUsed/>
    <w:qFormat/>
    <w:rPr>
      <w:vertAlign w:val="superscript"/>
    </w:rPr>
  </w:style>
  <w:style w:type="character" w:styleId="893" w:customStyle="1">
    <w:name w:val="超链接12"/>
    <w:link w:val="821"/>
    <w:uiPriority w:val="99"/>
    <w:unhideWhenUsed/>
    <w:qFormat/>
    <w:rPr>
      <w:color w:val="0000ff"/>
      <w:u w:val="single"/>
    </w:rPr>
  </w:style>
  <w:style w:type="character" w:styleId="894" w:customStyle="1">
    <w:name w:val="脚注引用12"/>
    <w:link w:val="821"/>
    <w:uiPriority w:val="99"/>
    <w:unhideWhenUsed/>
    <w:qFormat/>
    <w:rPr>
      <w:vertAlign w:val="superscript"/>
    </w:rPr>
  </w:style>
  <w:style w:type="paragraph" w:styleId="895" w:customStyle="1">
    <w:name w:val="Caption1"/>
    <w:basedOn w:val="821"/>
    <w:next w:val="821"/>
    <w:uiPriority w:val="35"/>
    <w:unhideWhenUsed/>
    <w:qFormat/>
    <w:pPr>
      <w:spacing w:line="276" w:lineRule="auto"/>
    </w:pPr>
    <w:rPr>
      <w:b/>
      <w:bCs/>
      <w:color w:val="4f81bd"/>
      <w:sz w:val="18"/>
      <w:szCs w:val="18"/>
    </w:rPr>
  </w:style>
  <w:style w:type="paragraph" w:styleId="896" w:customStyle="1">
    <w:name w:val="Footer1"/>
    <w:basedOn w:val="821"/>
    <w:uiPriority w:val="99"/>
    <w:unhideWhenUsed/>
    <w:qFormat/>
    <w:pPr>
      <w:spacing w:after="0" w:line="240" w:lineRule="auto"/>
      <w:tabs>
        <w:tab w:val="center" w:pos="7143" w:leader="none"/>
        <w:tab w:val="right" w:pos="14287" w:leader="none"/>
      </w:tabs>
    </w:pPr>
  </w:style>
  <w:style w:type="paragraph" w:styleId="897" w:customStyle="1">
    <w:name w:val="Header1"/>
    <w:basedOn w:val="821"/>
    <w:uiPriority w:val="99"/>
    <w:unhideWhenUsed/>
    <w:qFormat/>
    <w:pPr>
      <w:spacing w:after="0" w:line="240" w:lineRule="auto"/>
      <w:tabs>
        <w:tab w:val="center" w:pos="7143" w:leader="none"/>
        <w:tab w:val="right" w:pos="14287" w:leader="none"/>
      </w:tabs>
    </w:pPr>
  </w:style>
  <w:style w:type="paragraph" w:styleId="898" w:customStyle="1">
    <w:name w:val="一级条标题"/>
    <w:basedOn w:val="899"/>
    <w:next w:val="9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9" w:customStyle="1">
    <w:name w:val="章标题"/>
    <w:next w:val="82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eastAsia="zh-CN"/>
    </w:rPr>
  </w:style>
  <w:style w:type="paragraph" w:styleId="900" w:customStyle="1">
    <w:name w:val="段"/>
    <w:basedOn w:val="868"/>
    <w:next w:val="821"/>
    <w:uiPriority w:val="0"/>
    <w:qFormat/>
    <w:pPr>
      <w:ind w:firstLine="200"/>
      <w:widowControl/>
    </w:pPr>
    <w:rPr>
      <w:rFonts w:hint="eastAsia" w:ascii="宋体"/>
      <w:sz w:val="20"/>
      <w:szCs w:val="20"/>
    </w:rPr>
  </w:style>
  <w:style w:type="paragraph" w:styleId="901" w:customStyle="1">
    <w:name w:val="目录 111"/>
    <w:basedOn w:val="902"/>
    <w:next w:val="864"/>
    <w:uiPriority w:val="39"/>
    <w:unhideWhenUsed/>
    <w:qFormat/>
    <w:pPr>
      <w:spacing w:after="57"/>
    </w:pPr>
  </w:style>
  <w:style w:type="paragraph" w:styleId="902" w:customStyle="1">
    <w:name w:val="正文12"/>
    <w:next w:val="903"/>
    <w:uiPriority w:val="0"/>
    <w:qFormat/>
    <w:pPr>
      <w:jc w:val="both"/>
      <w:widowControl w:val="off"/>
    </w:pPr>
    <w:rPr>
      <w:rFonts w:hint="default" w:ascii="Times New Roman" w:hAnsi="Times New Roman" w:eastAsia="宋体" w:cs="Times New Roman"/>
      <w:sz w:val="21"/>
      <w:szCs w:val="24"/>
      <w:lang w:eastAsia="zh-CN"/>
    </w:rPr>
  </w:style>
  <w:style w:type="paragraph" w:styleId="903" w:customStyle="1">
    <w:name w:val="文本块11"/>
    <w:basedOn w:val="902"/>
    <w:uiPriority w:val="0"/>
    <w:unhideWhenUsed/>
    <w:qFormat/>
    <w:pPr>
      <w:ind w:left="1440" w:right="1440"/>
      <w:spacing w:after="120"/>
    </w:pPr>
    <w:rPr>
      <w:rFonts w:ascii="Calibri" w:hAnsi="Calibri"/>
    </w:rPr>
  </w:style>
  <w:style w:type="paragraph" w:styleId="904" w:customStyle="1">
    <w:name w:val="正文文本111"/>
    <w:basedOn w:val="821"/>
    <w:next w:val="902"/>
    <w:uiPriority w:val="0"/>
    <w:qFormat/>
    <w:rPr>
      <w:rFonts w:ascii="楷体_GB2312" w:hAnsi="Arial" w:eastAsia="楷体_GB2312"/>
      <w:sz w:val="28"/>
      <w:szCs w:val="28"/>
      <w:lang w:eastAsia="en-US"/>
    </w:rPr>
  </w:style>
  <w:style w:type="paragraph" w:styleId="905" w:customStyle="1">
    <w:name w:val="正文首行缩进 21"/>
    <w:basedOn w:val="865"/>
    <w:next w:val="821"/>
    <w:uiPriority w:val="0"/>
    <w:qFormat/>
    <w:pPr>
      <w:ind w:firstLine="420"/>
    </w:pPr>
    <w:rPr>
      <w:rFonts w:ascii="宋体" w:hAnsi="宋体"/>
      <w:sz w:val="20"/>
      <w:szCs w:val="20"/>
    </w:rPr>
  </w:style>
  <w:style w:type="paragraph" w:styleId="906" w:customStyle="1">
    <w:name w:val="正文文本1"/>
    <w:basedOn w:val="902"/>
    <w:next w:val="898"/>
    <w:uiPriority w:val="0"/>
    <w:qFormat/>
    <w:pPr>
      <w:spacing w:after="120"/>
    </w:pPr>
  </w:style>
  <w:style w:type="paragraph" w:styleId="907" w:customStyle="1">
    <w:name w:val="标题 111"/>
    <w:basedOn w:val="821"/>
    <w:next w:val="821"/>
    <w:uiPriority w:val="9"/>
    <w:qFormat/>
    <w:pPr>
      <w:keepLines/>
      <w:keepNext/>
      <w:spacing w:before="480" w:after="200"/>
      <w:outlineLvl w:val="0"/>
    </w:pPr>
    <w:rPr>
      <w:rFonts w:ascii="Arial" w:hAnsi="Arial" w:eastAsia="Arial" w:cs="Arial"/>
      <w:sz w:val="40"/>
      <w:szCs w:val="40"/>
    </w:rPr>
  </w:style>
  <w:style w:type="paragraph" w:styleId="908" w:customStyle="1">
    <w:name w:val="标题 211"/>
    <w:basedOn w:val="821"/>
    <w:next w:val="821"/>
    <w:uiPriority w:val="9"/>
    <w:unhideWhenUsed/>
    <w:qFormat/>
    <w:pPr>
      <w:keepLines/>
      <w:keepNext/>
      <w:spacing w:before="360" w:after="200"/>
      <w:outlineLvl w:val="1"/>
    </w:pPr>
    <w:rPr>
      <w:rFonts w:ascii="Arial" w:hAnsi="Arial" w:eastAsia="Arial" w:cs="Arial"/>
      <w:sz w:val="34"/>
    </w:rPr>
  </w:style>
  <w:style w:type="paragraph" w:styleId="909" w:customStyle="1">
    <w:name w:val="标题 311"/>
    <w:basedOn w:val="821"/>
    <w:next w:val="821"/>
    <w:uiPriority w:val="9"/>
    <w:unhideWhenUsed/>
    <w:qFormat/>
    <w:pPr>
      <w:keepLines/>
      <w:keepNext/>
      <w:spacing w:before="320" w:after="200"/>
      <w:outlineLvl w:val="2"/>
    </w:pPr>
    <w:rPr>
      <w:rFonts w:ascii="Arial" w:hAnsi="Arial" w:eastAsia="Arial" w:cs="Arial"/>
      <w:sz w:val="30"/>
      <w:szCs w:val="30"/>
    </w:rPr>
  </w:style>
  <w:style w:type="paragraph" w:styleId="910" w:customStyle="1">
    <w:name w:val="标题 411"/>
    <w:basedOn w:val="821"/>
    <w:next w:val="821"/>
    <w:uiPriority w:val="9"/>
    <w:unhideWhenUsed/>
    <w:qFormat/>
    <w:pPr>
      <w:keepLines/>
      <w:keepNext/>
      <w:spacing w:before="320" w:after="200"/>
      <w:outlineLvl w:val="3"/>
    </w:pPr>
    <w:rPr>
      <w:rFonts w:ascii="Arial" w:hAnsi="Arial" w:eastAsia="Arial" w:cs="Arial"/>
      <w:b/>
      <w:bCs/>
      <w:sz w:val="26"/>
      <w:szCs w:val="26"/>
    </w:rPr>
  </w:style>
  <w:style w:type="paragraph" w:styleId="911" w:customStyle="1">
    <w:name w:val="标题 511"/>
    <w:basedOn w:val="821"/>
    <w:next w:val="821"/>
    <w:uiPriority w:val="9"/>
    <w:unhideWhenUsed/>
    <w:qFormat/>
    <w:pPr>
      <w:keepLines/>
      <w:keepNext/>
      <w:spacing w:before="320" w:after="200"/>
      <w:outlineLvl w:val="4"/>
    </w:pPr>
    <w:rPr>
      <w:rFonts w:ascii="Arial" w:hAnsi="Arial" w:eastAsia="Arial" w:cs="Arial"/>
      <w:b/>
      <w:bCs/>
      <w:sz w:val="24"/>
    </w:rPr>
  </w:style>
  <w:style w:type="paragraph" w:styleId="912" w:customStyle="1">
    <w:name w:val="标题 611"/>
    <w:basedOn w:val="821"/>
    <w:next w:val="821"/>
    <w:uiPriority w:val="9"/>
    <w:unhideWhenUsed/>
    <w:qFormat/>
    <w:pPr>
      <w:keepLines/>
      <w:keepNext/>
      <w:spacing w:before="320" w:after="200"/>
      <w:outlineLvl w:val="5"/>
    </w:pPr>
    <w:rPr>
      <w:rFonts w:ascii="Arial" w:hAnsi="Arial" w:eastAsia="Arial" w:cs="Arial"/>
      <w:b/>
      <w:bCs/>
      <w:sz w:val="22"/>
      <w:szCs w:val="22"/>
    </w:rPr>
  </w:style>
  <w:style w:type="paragraph" w:styleId="913" w:customStyle="1">
    <w:name w:val="标题 711"/>
    <w:basedOn w:val="821"/>
    <w:next w:val="821"/>
    <w:uiPriority w:val="9"/>
    <w:unhideWhenUsed/>
    <w:qFormat/>
    <w:pPr>
      <w:keepLines/>
      <w:keepNext/>
      <w:spacing w:before="320" w:after="200"/>
      <w:outlineLvl w:val="6"/>
    </w:pPr>
    <w:rPr>
      <w:rFonts w:ascii="Arial" w:hAnsi="Arial" w:eastAsia="Arial" w:cs="Arial"/>
      <w:b/>
      <w:bCs/>
      <w:i/>
      <w:iCs/>
      <w:sz w:val="22"/>
      <w:szCs w:val="22"/>
    </w:rPr>
  </w:style>
  <w:style w:type="paragraph" w:styleId="914" w:customStyle="1">
    <w:name w:val="标题 811"/>
    <w:basedOn w:val="821"/>
    <w:next w:val="821"/>
    <w:uiPriority w:val="9"/>
    <w:unhideWhenUsed/>
    <w:qFormat/>
    <w:pPr>
      <w:keepLines/>
      <w:keepNext/>
      <w:spacing w:before="320" w:after="200"/>
      <w:outlineLvl w:val="7"/>
    </w:pPr>
    <w:rPr>
      <w:rFonts w:ascii="Arial" w:hAnsi="Arial" w:eastAsia="Arial" w:cs="Arial"/>
      <w:i/>
      <w:iCs/>
      <w:sz w:val="22"/>
      <w:szCs w:val="22"/>
    </w:rPr>
  </w:style>
  <w:style w:type="paragraph" w:styleId="915" w:customStyle="1">
    <w:name w:val="标题 911"/>
    <w:basedOn w:val="821"/>
    <w:next w:val="821"/>
    <w:uiPriority w:val="9"/>
    <w:unhideWhenUsed/>
    <w:qFormat/>
    <w:pPr>
      <w:keepLines/>
      <w:keepNext/>
      <w:spacing w:before="320" w:after="200"/>
      <w:outlineLvl w:val="8"/>
    </w:pPr>
    <w:rPr>
      <w:rFonts w:ascii="Arial" w:hAnsi="Arial" w:eastAsia="Arial" w:cs="Arial"/>
      <w:i/>
      <w:iCs/>
      <w:szCs w:val="21"/>
    </w:rPr>
  </w:style>
  <w:style w:type="character" w:styleId="916" w:customStyle="1">
    <w:name w:val="默认段落字体11"/>
    <w:link w:val="821"/>
    <w:uiPriority w:val="1"/>
    <w:unhideWhenUsed/>
    <w:qFormat/>
  </w:style>
  <w:style w:type="table" w:styleId="917" w:customStyle="1">
    <w:name w:val="普通表格11"/>
    <w:uiPriority w:val="99"/>
    <w:unhideWhenUsed/>
    <w:qFormat/>
    <w:tblPr/>
  </w:style>
  <w:style w:type="paragraph" w:styleId="918" w:customStyle="1">
    <w:name w:val="信息标题1"/>
    <w:basedOn w:val="821"/>
    <w:next w:val="833"/>
    <w:uiPriority w:val="99"/>
    <w:qFormat/>
    <w:pPr>
      <w:shd w:val="pct20" w:color="auto" w:fill="auto"/>
      <w:pBdr>
        <w:top w:val="none" w:color="000000" w:sz="0" w:space="0"/>
        <w:left w:val="none" w:color="000000" w:sz="0" w:space="0"/>
        <w:bottom w:val="none" w:color="000000" w:sz="0" w:space="0"/>
        <w:right w:val="none" w:color="000000" w:sz="0" w:space="0"/>
      </w:pBdr>
    </w:pPr>
    <w:rPr>
      <w:rFonts w:ascii="Arial" w:hAnsi="Arial"/>
      <w:color w:val="000000"/>
      <w:szCs w:val="22"/>
    </w:rPr>
  </w:style>
  <w:style w:type="paragraph" w:styleId="919" w:customStyle="1">
    <w:name w:val="目录 711"/>
    <w:basedOn w:val="821"/>
    <w:next w:val="821"/>
    <w:uiPriority w:val="39"/>
    <w:unhideWhenUsed/>
    <w:qFormat/>
    <w:pPr>
      <w:ind w:left="1701"/>
      <w:spacing w:after="57"/>
    </w:pPr>
  </w:style>
  <w:style w:type="paragraph" w:styleId="920" w:customStyle="1">
    <w:name w:val="题注11"/>
    <w:basedOn w:val="821"/>
    <w:next w:val="821"/>
    <w:uiPriority w:val="35"/>
    <w:unhideWhenUsed/>
    <w:qFormat/>
    <w:pPr>
      <w:spacing w:line="276" w:lineRule="auto"/>
    </w:pPr>
    <w:rPr>
      <w:b/>
      <w:bCs/>
      <w:color w:val="4f81bd"/>
      <w:sz w:val="18"/>
      <w:szCs w:val="18"/>
    </w:rPr>
  </w:style>
  <w:style w:type="paragraph" w:styleId="921" w:customStyle="1">
    <w:name w:val="批注文字11"/>
    <w:basedOn w:val="821"/>
    <w:uiPriority w:val="0"/>
    <w:qFormat/>
    <w:pPr>
      <w:jc w:val="left"/>
    </w:pPr>
  </w:style>
  <w:style w:type="paragraph" w:styleId="922" w:customStyle="1">
    <w:name w:val="文本块12"/>
    <w:basedOn w:val="821"/>
    <w:uiPriority w:val="6"/>
    <w:qFormat/>
    <w:pPr>
      <w:ind w:left="256" w:right="6" w:firstLine="624"/>
    </w:pPr>
    <w:rPr>
      <w:rFonts w:eastAsia="仿宋"/>
      <w:sz w:val="28"/>
    </w:rPr>
  </w:style>
  <w:style w:type="paragraph" w:styleId="923" w:customStyle="1">
    <w:name w:val="目录 511"/>
    <w:basedOn w:val="821"/>
    <w:next w:val="821"/>
    <w:uiPriority w:val="39"/>
    <w:unhideWhenUsed/>
    <w:qFormat/>
    <w:pPr>
      <w:ind w:left="1134"/>
      <w:spacing w:after="57"/>
    </w:pPr>
  </w:style>
  <w:style w:type="paragraph" w:styleId="924" w:customStyle="1">
    <w:name w:val="目录 311"/>
    <w:basedOn w:val="821"/>
    <w:next w:val="821"/>
    <w:uiPriority w:val="39"/>
    <w:unhideWhenUsed/>
    <w:qFormat/>
    <w:pPr>
      <w:ind w:left="567"/>
      <w:spacing w:after="57"/>
    </w:pPr>
  </w:style>
  <w:style w:type="paragraph" w:styleId="925" w:customStyle="1">
    <w:name w:val="目录 811"/>
    <w:basedOn w:val="821"/>
    <w:next w:val="821"/>
    <w:uiPriority w:val="39"/>
    <w:unhideWhenUsed/>
    <w:qFormat/>
    <w:pPr>
      <w:ind w:left="1984"/>
      <w:spacing w:after="57"/>
    </w:pPr>
  </w:style>
  <w:style w:type="paragraph" w:styleId="926" w:customStyle="1">
    <w:name w:val="尾注文本11"/>
    <w:basedOn w:val="821"/>
    <w:uiPriority w:val="99"/>
    <w:unhideWhenUsed/>
    <w:qFormat/>
    <w:rPr>
      <w:sz w:val="20"/>
    </w:rPr>
  </w:style>
  <w:style w:type="paragraph" w:styleId="927" w:customStyle="1">
    <w:name w:val="页脚11"/>
    <w:basedOn w:val="821"/>
    <w:uiPriority w:val="99"/>
    <w:unhideWhenUsed/>
    <w:qFormat/>
    <w:pPr>
      <w:tabs>
        <w:tab w:val="center" w:pos="7143" w:leader="none"/>
        <w:tab w:val="right" w:pos="14287" w:leader="none"/>
      </w:tabs>
    </w:pPr>
  </w:style>
  <w:style w:type="paragraph" w:styleId="928" w:customStyle="1">
    <w:name w:val="页眉11"/>
    <w:basedOn w:val="821"/>
    <w:uiPriority w:val="99"/>
    <w:unhideWhenUsed/>
    <w:qFormat/>
    <w:pPr>
      <w:tabs>
        <w:tab w:val="center" w:pos="7143" w:leader="none"/>
        <w:tab w:val="right" w:pos="14287" w:leader="none"/>
      </w:tabs>
    </w:pPr>
  </w:style>
  <w:style w:type="paragraph" w:styleId="929" w:customStyle="1">
    <w:name w:val="目录 1111"/>
    <w:basedOn w:val="821"/>
    <w:next w:val="821"/>
    <w:uiPriority w:val="39"/>
    <w:unhideWhenUsed/>
    <w:qFormat/>
    <w:pPr>
      <w:spacing w:after="57"/>
    </w:pPr>
  </w:style>
  <w:style w:type="paragraph" w:styleId="930" w:customStyle="1">
    <w:name w:val="目录 411"/>
    <w:basedOn w:val="821"/>
    <w:next w:val="821"/>
    <w:uiPriority w:val="39"/>
    <w:unhideWhenUsed/>
    <w:qFormat/>
    <w:pPr>
      <w:ind w:left="850"/>
      <w:spacing w:after="57"/>
    </w:pPr>
  </w:style>
  <w:style w:type="paragraph" w:styleId="931" w:customStyle="1">
    <w:name w:val="副标题11"/>
    <w:basedOn w:val="821"/>
    <w:next w:val="821"/>
    <w:uiPriority w:val="11"/>
    <w:qFormat/>
    <w:pPr>
      <w:spacing w:before="200" w:after="200"/>
    </w:pPr>
    <w:rPr>
      <w:sz w:val="24"/>
    </w:rPr>
  </w:style>
  <w:style w:type="paragraph" w:styleId="932" w:customStyle="1">
    <w:name w:val="脚注文本11"/>
    <w:basedOn w:val="821"/>
    <w:next w:val="933"/>
    <w:uiPriority w:val="99"/>
    <w:unhideWhenUsed/>
    <w:qFormat/>
    <w:pPr>
      <w:spacing w:after="40"/>
    </w:pPr>
    <w:rPr>
      <w:sz w:val="18"/>
    </w:rPr>
  </w:style>
  <w:style w:type="paragraph" w:styleId="933" w:customStyle="1">
    <w:name w:val="索引 51"/>
    <w:basedOn w:val="934"/>
    <w:next w:val="868"/>
    <w:uiPriority w:val="0"/>
    <w:qFormat/>
    <w:pPr>
      <w:ind w:left="798"/>
      <w:jc w:val="left"/>
    </w:pPr>
    <w:rPr>
      <w:rFonts w:ascii="Calibri" w:hAnsi="Calibri"/>
    </w:rPr>
  </w:style>
  <w:style w:type="paragraph" w:styleId="934" w:customStyle="1">
    <w:name w:val="脚注文本1"/>
    <w:basedOn w:val="868"/>
    <w:next w:val="906"/>
    <w:uiPriority w:val="0"/>
    <w:qFormat/>
    <w:rPr>
      <w:rFonts w:ascii="宋体" w:eastAsia="Times New Roman"/>
      <w:sz w:val="18"/>
      <w:szCs w:val="18"/>
    </w:rPr>
  </w:style>
  <w:style w:type="paragraph" w:styleId="935" w:customStyle="1">
    <w:name w:val="目录 611"/>
    <w:basedOn w:val="821"/>
    <w:next w:val="821"/>
    <w:uiPriority w:val="39"/>
    <w:unhideWhenUsed/>
    <w:qFormat/>
    <w:pPr>
      <w:ind w:left="1417"/>
      <w:spacing w:after="57"/>
    </w:pPr>
  </w:style>
  <w:style w:type="paragraph" w:styleId="936" w:customStyle="1">
    <w:name w:val="图表目录11"/>
    <w:basedOn w:val="821"/>
    <w:next w:val="821"/>
    <w:uiPriority w:val="99"/>
    <w:unhideWhenUsed/>
    <w:qFormat/>
  </w:style>
  <w:style w:type="paragraph" w:styleId="937" w:customStyle="1">
    <w:name w:val="目录 211"/>
    <w:basedOn w:val="821"/>
    <w:next w:val="821"/>
    <w:uiPriority w:val="39"/>
    <w:unhideWhenUsed/>
    <w:qFormat/>
    <w:pPr>
      <w:ind w:left="283"/>
      <w:spacing w:after="57"/>
    </w:pPr>
  </w:style>
  <w:style w:type="paragraph" w:styleId="938" w:customStyle="1">
    <w:name w:val="目录 911"/>
    <w:basedOn w:val="821"/>
    <w:next w:val="821"/>
    <w:uiPriority w:val="39"/>
    <w:unhideWhenUsed/>
    <w:qFormat/>
    <w:pPr>
      <w:ind w:left="2268"/>
      <w:spacing w:after="57"/>
    </w:pPr>
  </w:style>
  <w:style w:type="paragraph" w:styleId="939" w:customStyle="1">
    <w:name w:val="普通(网站)12"/>
    <w:basedOn w:val="821"/>
    <w:uiPriority w:val="99"/>
    <w:qFormat/>
    <w:pPr>
      <w:jc w:val="left"/>
      <w:spacing w:before="100" w:beforeAutospacing="1" w:after="100" w:afterAutospacing="1"/>
      <w:widowControl/>
    </w:pPr>
    <w:rPr>
      <w:rFonts w:ascii="宋体" w:hAnsi="宋体" w:cs="宋体"/>
      <w:sz w:val="24"/>
    </w:rPr>
  </w:style>
  <w:style w:type="paragraph" w:styleId="940" w:customStyle="1">
    <w:name w:val="标题11"/>
    <w:basedOn w:val="821"/>
    <w:next w:val="821"/>
    <w:uiPriority w:val="10"/>
    <w:qFormat/>
    <w:pPr>
      <w:contextualSpacing/>
      <w:spacing w:before="300" w:after="200"/>
    </w:pPr>
    <w:rPr>
      <w:sz w:val="48"/>
      <w:szCs w:val="48"/>
    </w:rPr>
  </w:style>
  <w:style w:type="table" w:styleId="941" w:customStyle="1">
    <w:name w:val="网格型11"/>
    <w:uiPriority w:val="59"/>
    <w:qFormat/>
    <w:tblPr/>
  </w:style>
  <w:style w:type="character" w:styleId="942" w:customStyle="1">
    <w:name w:val="要点1"/>
    <w:link w:val="821"/>
    <w:uiPriority w:val="0"/>
    <w:qFormat/>
    <w:rPr>
      <w:b/>
    </w:rPr>
  </w:style>
  <w:style w:type="character" w:styleId="943" w:customStyle="1">
    <w:name w:val="尾注引用11"/>
    <w:link w:val="821"/>
    <w:uiPriority w:val="99"/>
    <w:unhideWhenUsed/>
    <w:qFormat/>
    <w:rPr>
      <w:vertAlign w:val="superscript"/>
    </w:rPr>
  </w:style>
  <w:style w:type="character" w:styleId="944" w:customStyle="1">
    <w:name w:val="超链接11"/>
    <w:basedOn w:val="916"/>
    <w:link w:val="821"/>
    <w:uiPriority w:val="99"/>
    <w:unhideWhenUsed/>
    <w:qFormat/>
    <w:rPr>
      <w:color w:val="0000ff"/>
      <w:u w:val="single"/>
    </w:rPr>
  </w:style>
  <w:style w:type="character" w:styleId="945" w:customStyle="1">
    <w:name w:val="脚注引用11"/>
    <w:link w:val="821"/>
    <w:uiPriority w:val="99"/>
    <w:unhideWhenUsed/>
    <w:qFormat/>
    <w:rPr>
      <w:vertAlign w:val="superscript"/>
    </w:rPr>
  </w:style>
  <w:style w:type="table" w:styleId="946" w:customStyle="1">
    <w:name w:val="Plain Table 1"/>
    <w:basedOn w:val="917"/>
    <w:uiPriority w:val="59"/>
    <w:qFormat/>
    <w:pPr>
      <w:spacing w:after="0" w:line="240" w:lineRule="auto"/>
    </w:pPr>
    <w:tblPr/>
  </w:style>
  <w:style w:type="table" w:styleId="947" w:customStyle="1">
    <w:name w:val="Plain Table 2"/>
    <w:basedOn w:val="917"/>
    <w:uiPriority w:val="59"/>
    <w:qFormat/>
    <w:pPr>
      <w:spacing w:after="0" w:line="240" w:lineRule="auto"/>
    </w:pPr>
    <w:tblPr/>
  </w:style>
  <w:style w:type="table" w:styleId="948" w:customStyle="1">
    <w:name w:val="Plain Table 3"/>
    <w:basedOn w:val="917"/>
    <w:uiPriority w:val="99"/>
    <w:qFormat/>
    <w:pPr>
      <w:spacing w:after="0" w:line="240" w:lineRule="auto"/>
    </w:pPr>
    <w:tblPr/>
  </w:style>
  <w:style w:type="table" w:styleId="949" w:customStyle="1">
    <w:name w:val="Plain Table 4"/>
    <w:basedOn w:val="917"/>
    <w:uiPriority w:val="99"/>
    <w:qFormat/>
    <w:pPr>
      <w:spacing w:after="0" w:line="240" w:lineRule="auto"/>
    </w:pPr>
    <w:tblPr/>
  </w:style>
  <w:style w:type="table" w:styleId="950" w:customStyle="1">
    <w:name w:val="Plain Table 5"/>
    <w:basedOn w:val="917"/>
    <w:uiPriority w:val="99"/>
    <w:qFormat/>
    <w:pPr>
      <w:spacing w:after="0" w:line="240" w:lineRule="auto"/>
    </w:pPr>
    <w:tblPr/>
  </w:style>
  <w:style w:type="table" w:styleId="951" w:customStyle="1">
    <w:name w:val="Grid Table 1 Light"/>
    <w:basedOn w:val="917"/>
    <w:uiPriority w:val="99"/>
    <w:qFormat/>
    <w:pPr>
      <w:spacing w:after="0" w:line="240" w:lineRule="auto"/>
    </w:pPr>
    <w:tblPr/>
  </w:style>
  <w:style w:type="table" w:styleId="952" w:customStyle="1">
    <w:name w:val="Grid Table 2"/>
    <w:basedOn w:val="917"/>
    <w:uiPriority w:val="99"/>
    <w:qFormat/>
    <w:pPr>
      <w:spacing w:after="0" w:line="240" w:lineRule="auto"/>
    </w:pPr>
    <w:tblPr/>
  </w:style>
  <w:style w:type="table" w:styleId="953" w:customStyle="1">
    <w:name w:val="Grid Table 3"/>
    <w:basedOn w:val="917"/>
    <w:uiPriority w:val="99"/>
    <w:qFormat/>
    <w:pPr>
      <w:spacing w:after="0" w:line="240" w:lineRule="auto"/>
    </w:pPr>
    <w:tblPr/>
  </w:style>
  <w:style w:type="table" w:styleId="954" w:customStyle="1">
    <w:name w:val="Grid Table 4"/>
    <w:basedOn w:val="917"/>
    <w:uiPriority w:val="59"/>
    <w:qFormat/>
    <w:pPr>
      <w:spacing w:after="0" w:line="240" w:lineRule="auto"/>
    </w:pPr>
    <w:tblPr/>
  </w:style>
  <w:style w:type="table" w:styleId="955" w:customStyle="1">
    <w:name w:val="Grid Table 5 Dark"/>
    <w:basedOn w:val="917"/>
    <w:uiPriority w:val="99"/>
    <w:qFormat/>
    <w:pPr>
      <w:spacing w:after="0" w:line="240" w:lineRule="auto"/>
    </w:pPr>
    <w:tblPr/>
  </w:style>
  <w:style w:type="table" w:styleId="956" w:customStyle="1">
    <w:name w:val="Grid Table 6 Colorful"/>
    <w:basedOn w:val="917"/>
    <w:uiPriority w:val="99"/>
    <w:qFormat/>
    <w:pPr>
      <w:spacing w:after="0" w:line="240" w:lineRule="auto"/>
    </w:pPr>
    <w:tblPr/>
  </w:style>
  <w:style w:type="table" w:styleId="957" w:customStyle="1">
    <w:name w:val="Grid Table 7 Colorful"/>
    <w:basedOn w:val="917"/>
    <w:uiPriority w:val="99"/>
    <w:qFormat/>
    <w:pPr>
      <w:spacing w:after="0" w:line="240" w:lineRule="auto"/>
    </w:pPr>
    <w:tblPr/>
  </w:style>
  <w:style w:type="table" w:styleId="958" w:customStyle="1">
    <w:name w:val="List Table 1 Light"/>
    <w:basedOn w:val="917"/>
    <w:uiPriority w:val="99"/>
    <w:qFormat/>
    <w:pPr>
      <w:spacing w:after="0" w:line="240" w:lineRule="auto"/>
    </w:pPr>
    <w:tblPr/>
  </w:style>
  <w:style w:type="table" w:styleId="959" w:customStyle="1">
    <w:name w:val="List Table 2"/>
    <w:basedOn w:val="917"/>
    <w:uiPriority w:val="99"/>
    <w:qFormat/>
    <w:pPr>
      <w:spacing w:after="0" w:line="240" w:lineRule="auto"/>
    </w:pPr>
    <w:tblPr/>
  </w:style>
  <w:style w:type="table" w:styleId="960" w:customStyle="1">
    <w:name w:val="List Table 3"/>
    <w:basedOn w:val="917"/>
    <w:uiPriority w:val="99"/>
    <w:qFormat/>
    <w:pPr>
      <w:spacing w:after="0" w:line="240" w:lineRule="auto"/>
    </w:pPr>
    <w:tblPr/>
  </w:style>
  <w:style w:type="table" w:styleId="961" w:customStyle="1">
    <w:name w:val="List Table 4"/>
    <w:basedOn w:val="917"/>
    <w:uiPriority w:val="99"/>
    <w:qFormat/>
    <w:pPr>
      <w:spacing w:after="0" w:line="240" w:lineRule="auto"/>
    </w:pPr>
    <w:tblPr/>
  </w:style>
  <w:style w:type="table" w:styleId="962" w:customStyle="1">
    <w:name w:val="List Table 5 Dark"/>
    <w:basedOn w:val="917"/>
    <w:uiPriority w:val="99"/>
    <w:qFormat/>
    <w:pPr>
      <w:spacing w:after="0" w:line="240" w:lineRule="auto"/>
    </w:pPr>
    <w:tblPr/>
  </w:style>
  <w:style w:type="table" w:styleId="963" w:customStyle="1">
    <w:name w:val="List Table 6 Colorful"/>
    <w:basedOn w:val="917"/>
    <w:uiPriority w:val="99"/>
    <w:qFormat/>
    <w:pPr>
      <w:spacing w:after="0" w:line="240" w:lineRule="auto"/>
    </w:pPr>
    <w:tblPr/>
  </w:style>
  <w:style w:type="table" w:styleId="964" w:customStyle="1">
    <w:name w:val="List Table 7 Colorful"/>
    <w:basedOn w:val="917"/>
    <w:uiPriority w:val="99"/>
    <w:qFormat/>
    <w:pPr>
      <w:spacing w:after="0" w:line="240" w:lineRule="auto"/>
    </w:pPr>
    <w:tblPr/>
  </w:style>
  <w:style w:type="paragraph" w:styleId="965" w:customStyle="1">
    <w:name w:val="TOC Heading"/>
    <w:uiPriority w:val="39"/>
    <w:unhideWhenUsed/>
    <w:qFormat/>
    <w:rPr>
      <w:rFonts w:hint="default" w:ascii="Times New Roman" w:hAnsi="Times New Roman" w:eastAsia="宋体" w:cs="Times New Roman"/>
    </w:rPr>
  </w:style>
  <w:style w:type="paragraph" w:styleId="966">
    <w:name w:val="List Paragraph"/>
    <w:basedOn w:val="821"/>
    <w:uiPriority w:val="34"/>
    <w:qFormat/>
    <w:pPr>
      <w:contextualSpacing/>
      <w:ind w:left="720"/>
    </w:pPr>
  </w:style>
  <w:style w:type="paragraph" w:styleId="967">
    <w:name w:val="No Spacing"/>
    <w:uiPriority w:val="1"/>
    <w:qFormat/>
    <w:rPr>
      <w:rFonts w:hint="default" w:ascii="Times New Roman" w:hAnsi="Times New Roman" w:eastAsia="宋体" w:cs="Times New Roman"/>
      <w:lang w:eastAsia="zh-CN"/>
    </w:rPr>
  </w:style>
  <w:style w:type="paragraph" w:styleId="968">
    <w:name w:val="Quote"/>
    <w:basedOn w:val="821"/>
    <w:next w:val="821"/>
    <w:uiPriority w:val="29"/>
    <w:qFormat/>
    <w:pPr>
      <w:ind w:left="720" w:right="720"/>
    </w:pPr>
    <w:rPr>
      <w:i/>
    </w:rPr>
  </w:style>
  <w:style w:type="paragraph" w:styleId="969">
    <w:name w:val="Intense Quote"/>
    <w:basedOn w:val="821"/>
    <w:next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0" w:customStyle="1">
    <w:name w:val="标题 11"/>
    <w:basedOn w:val="821"/>
    <w:next w:val="821"/>
    <w:uiPriority w:val="0"/>
    <w:qFormat/>
    <w:pPr>
      <w:keepLines/>
      <w:keepNext/>
      <w:spacing w:before="340" w:after="330" w:line="578" w:lineRule="auto"/>
      <w:outlineLvl w:val="0"/>
    </w:pPr>
    <w:rPr>
      <w:b/>
      <w:bCs/>
      <w:sz w:val="44"/>
      <w:szCs w:val="44"/>
    </w:rPr>
  </w:style>
  <w:style w:type="paragraph" w:styleId="971" w:customStyle="1">
    <w:name w:val="标题 31"/>
    <w:basedOn w:val="821"/>
    <w:next w:val="821"/>
    <w:link w:val="972"/>
    <w:uiPriority w:val="9"/>
    <w:qFormat/>
    <w:pPr>
      <w:keepLines/>
      <w:keepNext/>
      <w:spacing w:before="320" w:after="200"/>
      <w:outlineLvl w:val="2"/>
    </w:pPr>
    <w:rPr>
      <w:rFonts w:ascii="Arial" w:hAnsi="Arial" w:eastAsia="Arial" w:cs="Arial"/>
      <w:sz w:val="30"/>
      <w:szCs w:val="30"/>
    </w:rPr>
  </w:style>
  <w:style w:type="character" w:styleId="972" w:customStyle="1">
    <w:name w:val="标题 3 Char"/>
    <w:link w:val="971"/>
    <w:uiPriority w:val="9"/>
    <w:qFormat/>
    <w:rPr>
      <w:rFonts w:ascii="Arial" w:hAnsi="Arial" w:eastAsia="Arial" w:cs="Arial"/>
      <w:sz w:val="30"/>
      <w:szCs w:val="30"/>
    </w:rPr>
  </w:style>
  <w:style w:type="paragraph" w:styleId="973" w:customStyle="1">
    <w:name w:val="标题 41"/>
    <w:basedOn w:val="821"/>
    <w:next w:val="821"/>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974" w:customStyle="1">
    <w:name w:val="标题 51"/>
    <w:basedOn w:val="821"/>
    <w:next w:val="821"/>
    <w:link w:val="975"/>
    <w:uiPriority w:val="9"/>
    <w:qFormat/>
    <w:pPr>
      <w:keepLines/>
      <w:keepNext/>
      <w:spacing w:before="320" w:after="200"/>
      <w:outlineLvl w:val="4"/>
    </w:pPr>
    <w:rPr>
      <w:rFonts w:ascii="Arial" w:hAnsi="Arial" w:eastAsia="Arial" w:cs="Arial"/>
      <w:b/>
      <w:bCs/>
      <w:sz w:val="24"/>
    </w:rPr>
  </w:style>
  <w:style w:type="character" w:styleId="975" w:customStyle="1">
    <w:name w:val="标题 5 Char"/>
    <w:link w:val="974"/>
    <w:uiPriority w:val="9"/>
    <w:qFormat/>
    <w:rPr>
      <w:rFonts w:ascii="Arial" w:hAnsi="Arial" w:eastAsia="Arial" w:cs="Arial"/>
      <w:b/>
      <w:bCs/>
      <w:sz w:val="24"/>
      <w:szCs w:val="24"/>
    </w:rPr>
  </w:style>
  <w:style w:type="paragraph" w:styleId="976" w:customStyle="1">
    <w:name w:val="标题 61"/>
    <w:basedOn w:val="821"/>
    <w:next w:val="821"/>
    <w:link w:val="977"/>
    <w:uiPriority w:val="9"/>
    <w:qFormat/>
    <w:pPr>
      <w:keepLines/>
      <w:keepNext/>
      <w:spacing w:before="320" w:after="200"/>
      <w:outlineLvl w:val="5"/>
    </w:pPr>
    <w:rPr>
      <w:rFonts w:ascii="Arial" w:hAnsi="Arial" w:eastAsia="Arial" w:cs="Arial"/>
      <w:b/>
      <w:bCs/>
      <w:sz w:val="22"/>
      <w:szCs w:val="22"/>
    </w:rPr>
  </w:style>
  <w:style w:type="character" w:styleId="977" w:customStyle="1">
    <w:name w:val="标题 6 Char"/>
    <w:link w:val="976"/>
    <w:uiPriority w:val="9"/>
    <w:qFormat/>
    <w:rPr>
      <w:rFonts w:ascii="Arial" w:hAnsi="Arial" w:eastAsia="Arial" w:cs="Arial"/>
      <w:b/>
      <w:bCs/>
      <w:sz w:val="22"/>
      <w:szCs w:val="22"/>
    </w:rPr>
  </w:style>
  <w:style w:type="paragraph" w:styleId="978" w:customStyle="1">
    <w:name w:val="标题 71"/>
    <w:basedOn w:val="821"/>
    <w:next w:val="821"/>
    <w:link w:val="979"/>
    <w:uiPriority w:val="9"/>
    <w:qFormat/>
    <w:pPr>
      <w:keepLines/>
      <w:keepNext/>
      <w:spacing w:before="320" w:after="200"/>
      <w:outlineLvl w:val="6"/>
    </w:pPr>
    <w:rPr>
      <w:rFonts w:ascii="Arial" w:hAnsi="Arial" w:eastAsia="Arial" w:cs="Arial"/>
      <w:b/>
      <w:bCs/>
      <w:i/>
      <w:iCs/>
      <w:sz w:val="22"/>
      <w:szCs w:val="22"/>
    </w:rPr>
  </w:style>
  <w:style w:type="character" w:styleId="979" w:customStyle="1">
    <w:name w:val="标题 7 Char"/>
    <w:link w:val="978"/>
    <w:uiPriority w:val="9"/>
    <w:qFormat/>
    <w:rPr>
      <w:rFonts w:ascii="Arial" w:hAnsi="Arial" w:eastAsia="Arial" w:cs="Arial"/>
      <w:b/>
      <w:bCs/>
      <w:i/>
      <w:iCs/>
      <w:sz w:val="22"/>
      <w:szCs w:val="22"/>
    </w:rPr>
  </w:style>
  <w:style w:type="paragraph" w:styleId="980" w:customStyle="1">
    <w:name w:val="标题 81"/>
    <w:basedOn w:val="821"/>
    <w:next w:val="821"/>
    <w:link w:val="981"/>
    <w:uiPriority w:val="9"/>
    <w:qFormat/>
    <w:pPr>
      <w:keepLines/>
      <w:keepNext/>
      <w:spacing w:before="320" w:after="200"/>
      <w:outlineLvl w:val="7"/>
    </w:pPr>
    <w:rPr>
      <w:rFonts w:ascii="Arial" w:hAnsi="Arial" w:eastAsia="Arial" w:cs="Arial"/>
      <w:i/>
      <w:iCs/>
      <w:sz w:val="22"/>
      <w:szCs w:val="22"/>
    </w:rPr>
  </w:style>
  <w:style w:type="character" w:styleId="981" w:customStyle="1">
    <w:name w:val="标题 8 Char"/>
    <w:link w:val="980"/>
    <w:uiPriority w:val="9"/>
    <w:qFormat/>
    <w:rPr>
      <w:rFonts w:ascii="Arial" w:hAnsi="Arial" w:eastAsia="Arial" w:cs="Arial"/>
      <w:i/>
      <w:iCs/>
      <w:sz w:val="22"/>
      <w:szCs w:val="22"/>
    </w:rPr>
  </w:style>
  <w:style w:type="paragraph" w:styleId="982" w:customStyle="1">
    <w:name w:val="标题 91"/>
    <w:basedOn w:val="821"/>
    <w:next w:val="821"/>
    <w:link w:val="983"/>
    <w:uiPriority w:val="9"/>
    <w:qFormat/>
    <w:pPr>
      <w:keepLines/>
      <w:keepNext/>
      <w:spacing w:before="320" w:after="200"/>
      <w:outlineLvl w:val="8"/>
    </w:pPr>
    <w:rPr>
      <w:rFonts w:ascii="Arial" w:hAnsi="Arial" w:eastAsia="Arial" w:cs="Arial"/>
      <w:i/>
      <w:iCs/>
      <w:szCs w:val="21"/>
    </w:rPr>
  </w:style>
  <w:style w:type="character" w:styleId="983" w:customStyle="1">
    <w:name w:val="标题 9 Char"/>
    <w:link w:val="982"/>
    <w:uiPriority w:val="9"/>
    <w:qFormat/>
    <w:rPr>
      <w:rFonts w:ascii="Arial" w:hAnsi="Arial" w:eastAsia="Arial" w:cs="Arial"/>
      <w:i/>
      <w:iCs/>
      <w:sz w:val="21"/>
      <w:szCs w:val="21"/>
    </w:rPr>
  </w:style>
  <w:style w:type="character" w:styleId="984" w:customStyle="1">
    <w:name w:val="默认段落字体1"/>
    <w:link w:val="821"/>
    <w:uiPriority w:val="1"/>
    <w:unhideWhenUsed/>
    <w:qFormat/>
  </w:style>
  <w:style w:type="table" w:styleId="985" w:customStyle="1">
    <w:name w:val="普通表格1"/>
    <w:uiPriority w:val="99"/>
    <w:unhideWhenUsed/>
    <w:qFormat/>
    <w:tblPr/>
  </w:style>
  <w:style w:type="paragraph" w:styleId="986" w:customStyle="1">
    <w:name w:val="目录 71"/>
    <w:basedOn w:val="821"/>
    <w:next w:val="821"/>
    <w:uiPriority w:val="39"/>
    <w:unhideWhenUsed/>
    <w:qFormat/>
    <w:pPr>
      <w:ind w:left="1701"/>
      <w:spacing w:after="57"/>
    </w:pPr>
  </w:style>
  <w:style w:type="paragraph" w:styleId="987" w:customStyle="1">
    <w:name w:val="正文缩进1"/>
    <w:basedOn w:val="821"/>
    <w:uiPriority w:val="0"/>
    <w:qFormat/>
    <w:pPr>
      <w:ind w:firstLine="420"/>
    </w:pPr>
  </w:style>
  <w:style w:type="paragraph" w:styleId="988" w:customStyle="1">
    <w:name w:val="题注1"/>
    <w:basedOn w:val="821"/>
    <w:next w:val="821"/>
    <w:uiPriority w:val="35"/>
    <w:qFormat/>
    <w:pPr>
      <w:spacing w:line="276" w:lineRule="auto"/>
    </w:pPr>
    <w:rPr>
      <w:b/>
      <w:bCs/>
      <w:color w:val="4f81bd"/>
      <w:sz w:val="18"/>
      <w:szCs w:val="18"/>
    </w:rPr>
  </w:style>
  <w:style w:type="paragraph" w:styleId="989" w:customStyle="1">
    <w:name w:val="批注文字1"/>
    <w:basedOn w:val="821"/>
    <w:uiPriority w:val="0"/>
    <w:qFormat/>
    <w:pPr>
      <w:jc w:val="left"/>
    </w:pPr>
  </w:style>
  <w:style w:type="paragraph" w:styleId="990" w:customStyle="1">
    <w:name w:val="正文文本11"/>
    <w:basedOn w:val="821"/>
    <w:next w:val="821"/>
    <w:uiPriority w:val="0"/>
    <w:qFormat/>
    <w:pPr>
      <w:spacing w:after="120"/>
    </w:pPr>
  </w:style>
  <w:style w:type="paragraph" w:styleId="991" w:customStyle="1">
    <w:name w:val="目录 51"/>
    <w:basedOn w:val="821"/>
    <w:next w:val="821"/>
    <w:uiPriority w:val="39"/>
    <w:unhideWhenUsed/>
    <w:qFormat/>
    <w:pPr>
      <w:ind w:left="1134"/>
      <w:spacing w:after="57"/>
    </w:pPr>
  </w:style>
  <w:style w:type="paragraph" w:styleId="992" w:customStyle="1">
    <w:name w:val="目录 31"/>
    <w:basedOn w:val="821"/>
    <w:next w:val="821"/>
    <w:uiPriority w:val="39"/>
    <w:unhideWhenUsed/>
    <w:qFormat/>
    <w:pPr>
      <w:ind w:left="567"/>
      <w:spacing w:after="57"/>
    </w:pPr>
  </w:style>
  <w:style w:type="paragraph" w:styleId="993" w:customStyle="1">
    <w:name w:val="纯文本1"/>
    <w:basedOn w:val="821"/>
    <w:uiPriority w:val="99"/>
    <w:unhideWhenUsed/>
    <w:qFormat/>
    <w:rPr>
      <w:rFonts w:ascii="宋体" w:hAnsi="Courier New"/>
      <w:sz w:val="20"/>
      <w:szCs w:val="20"/>
    </w:rPr>
  </w:style>
  <w:style w:type="paragraph" w:styleId="994" w:customStyle="1">
    <w:name w:val="目录 81"/>
    <w:basedOn w:val="821"/>
    <w:next w:val="821"/>
    <w:uiPriority w:val="39"/>
    <w:unhideWhenUsed/>
    <w:qFormat/>
    <w:pPr>
      <w:ind w:left="1984"/>
      <w:spacing w:after="57"/>
    </w:pPr>
  </w:style>
  <w:style w:type="paragraph" w:styleId="995" w:customStyle="1">
    <w:name w:val="日期1"/>
    <w:basedOn w:val="821"/>
    <w:next w:val="821"/>
    <w:uiPriority w:val="0"/>
    <w:qFormat/>
    <w:rPr>
      <w:rFonts w:eastAsia="仿宋_GB2312"/>
      <w:sz w:val="28"/>
      <w:szCs w:val="20"/>
    </w:rPr>
  </w:style>
  <w:style w:type="paragraph" w:styleId="996" w:customStyle="1">
    <w:name w:val="正文文本缩进 21"/>
    <w:basedOn w:val="821"/>
    <w:uiPriority w:val="0"/>
    <w:qFormat/>
    <w:pPr>
      <w:ind w:firstLine="475"/>
      <w:spacing w:line="10" w:lineRule="atLeast"/>
    </w:pPr>
    <w:rPr>
      <w:rFonts w:ascii="仿宋_GB2312" w:eastAsia="仿宋_GB2312"/>
      <w:sz w:val="24"/>
    </w:rPr>
  </w:style>
  <w:style w:type="paragraph" w:styleId="997" w:customStyle="1">
    <w:name w:val="尾注文本1"/>
    <w:basedOn w:val="821"/>
    <w:link w:val="998"/>
    <w:uiPriority w:val="99"/>
    <w:unhideWhenUsed/>
    <w:qFormat/>
    <w:rPr>
      <w:sz w:val="20"/>
    </w:rPr>
  </w:style>
  <w:style w:type="character" w:styleId="998" w:customStyle="1">
    <w:name w:val="尾注文本 Char"/>
    <w:link w:val="997"/>
    <w:uiPriority w:val="99"/>
    <w:qFormat/>
    <w:rPr>
      <w:sz w:val="20"/>
    </w:rPr>
  </w:style>
  <w:style w:type="paragraph" w:styleId="999" w:customStyle="1">
    <w:name w:val="批注框文本1"/>
    <w:basedOn w:val="821"/>
    <w:link w:val="1000"/>
    <w:uiPriority w:val="99"/>
    <w:unhideWhenUsed/>
    <w:qFormat/>
    <w:rPr>
      <w:sz w:val="18"/>
      <w:szCs w:val="18"/>
    </w:rPr>
  </w:style>
  <w:style w:type="character" w:styleId="1000" w:customStyle="1">
    <w:name w:val="批注框文本 Char"/>
    <w:link w:val="999"/>
    <w:uiPriority w:val="99"/>
    <w:semiHidden/>
    <w:qFormat/>
    <w:rPr>
      <w:rFonts w:ascii="Times New Roman" w:hAnsi="Times New Roman"/>
      <w:sz w:val="18"/>
      <w:szCs w:val="18"/>
    </w:rPr>
  </w:style>
  <w:style w:type="paragraph" w:styleId="1001" w:customStyle="1">
    <w:name w:val="页脚1"/>
    <w:basedOn w:val="821"/>
    <w:uiPriority w:val="0"/>
    <w:qFormat/>
    <w:pPr>
      <w:jc w:val="left"/>
      <w:tabs>
        <w:tab w:val="center" w:pos="4153" w:leader="none"/>
        <w:tab w:val="right" w:pos="8306" w:leader="none"/>
      </w:tabs>
    </w:pPr>
    <w:rPr>
      <w:sz w:val="18"/>
      <w:szCs w:val="18"/>
    </w:rPr>
  </w:style>
  <w:style w:type="paragraph" w:styleId="1002" w:customStyle="1">
    <w:name w:val="页眉1"/>
    <w:basedOn w:val="821"/>
    <w:uiPriority w:val="0"/>
    <w:qFormat/>
    <w:pPr>
      <w:jc w:val="center"/>
      <w:tabs>
        <w:tab w:val="center" w:pos="4153" w:leader="none"/>
        <w:tab w:val="right" w:pos="8306" w:leader="none"/>
      </w:tabs>
      <w:pBdr>
        <w:bottom w:val="single" w:color="000000" w:sz="6" w:space="1"/>
      </w:pBdr>
    </w:pPr>
    <w:rPr>
      <w:sz w:val="18"/>
      <w:szCs w:val="18"/>
    </w:rPr>
  </w:style>
  <w:style w:type="paragraph" w:styleId="1003" w:customStyle="1">
    <w:name w:val="目录 41"/>
    <w:basedOn w:val="821"/>
    <w:next w:val="821"/>
    <w:uiPriority w:val="39"/>
    <w:unhideWhenUsed/>
    <w:qFormat/>
    <w:pPr>
      <w:ind w:left="850"/>
      <w:spacing w:after="57"/>
    </w:pPr>
  </w:style>
  <w:style w:type="paragraph" w:styleId="1004" w:customStyle="1">
    <w:name w:val="副标题1"/>
    <w:basedOn w:val="821"/>
    <w:next w:val="821"/>
    <w:link w:val="1005"/>
    <w:uiPriority w:val="11"/>
    <w:qFormat/>
    <w:pPr>
      <w:spacing w:before="200" w:after="200"/>
    </w:pPr>
    <w:rPr>
      <w:sz w:val="24"/>
    </w:rPr>
  </w:style>
  <w:style w:type="character" w:styleId="1005" w:customStyle="1">
    <w:name w:val="副标题 Char"/>
    <w:link w:val="1004"/>
    <w:uiPriority w:val="11"/>
    <w:qFormat/>
    <w:rPr>
      <w:sz w:val="24"/>
      <w:szCs w:val="24"/>
    </w:rPr>
  </w:style>
  <w:style w:type="paragraph" w:styleId="1006" w:customStyle="1">
    <w:name w:val="目录 61"/>
    <w:basedOn w:val="821"/>
    <w:next w:val="821"/>
    <w:uiPriority w:val="39"/>
    <w:unhideWhenUsed/>
    <w:qFormat/>
    <w:pPr>
      <w:ind w:left="1417"/>
      <w:spacing w:after="57"/>
    </w:pPr>
  </w:style>
  <w:style w:type="paragraph" w:styleId="1007" w:customStyle="1">
    <w:name w:val="图表目录1"/>
    <w:basedOn w:val="821"/>
    <w:next w:val="821"/>
    <w:uiPriority w:val="99"/>
    <w:unhideWhenUsed/>
    <w:qFormat/>
  </w:style>
  <w:style w:type="paragraph" w:styleId="1008" w:customStyle="1">
    <w:name w:val="目录 21"/>
    <w:basedOn w:val="821"/>
    <w:next w:val="821"/>
    <w:uiPriority w:val="39"/>
    <w:unhideWhenUsed/>
    <w:qFormat/>
    <w:pPr>
      <w:ind w:left="283"/>
      <w:spacing w:after="57"/>
    </w:pPr>
  </w:style>
  <w:style w:type="paragraph" w:styleId="1009" w:customStyle="1">
    <w:name w:val="目录 91"/>
    <w:basedOn w:val="821"/>
    <w:next w:val="821"/>
    <w:uiPriority w:val="39"/>
    <w:unhideWhenUsed/>
    <w:qFormat/>
    <w:pPr>
      <w:ind w:left="2268"/>
      <w:spacing w:after="57"/>
    </w:pPr>
  </w:style>
  <w:style w:type="paragraph" w:styleId="1010" w:customStyle="1">
    <w:name w:val="普通(网站)11"/>
    <w:basedOn w:val="821"/>
    <w:uiPriority w:val="0"/>
    <w:qFormat/>
    <w:pPr>
      <w:jc w:val="left"/>
      <w:spacing w:before="100" w:beforeAutospacing="1" w:after="100" w:afterAutospacing="1"/>
      <w:widowControl/>
    </w:pPr>
    <w:rPr>
      <w:rFonts w:ascii="宋体" w:hAnsi="宋体" w:cs="宋体"/>
      <w:sz w:val="24"/>
    </w:rPr>
  </w:style>
  <w:style w:type="paragraph" w:styleId="1011" w:customStyle="1">
    <w:name w:val="标题1"/>
    <w:basedOn w:val="821"/>
    <w:next w:val="821"/>
    <w:link w:val="1012"/>
    <w:uiPriority w:val="10"/>
    <w:qFormat/>
    <w:pPr>
      <w:contextualSpacing/>
      <w:spacing w:before="300" w:after="200"/>
    </w:pPr>
    <w:rPr>
      <w:sz w:val="48"/>
      <w:szCs w:val="48"/>
    </w:rPr>
  </w:style>
  <w:style w:type="character" w:styleId="1012" w:customStyle="1">
    <w:name w:val="标题 Char"/>
    <w:link w:val="1011"/>
    <w:uiPriority w:val="10"/>
    <w:qFormat/>
    <w:rPr>
      <w:sz w:val="48"/>
      <w:szCs w:val="48"/>
    </w:rPr>
  </w:style>
  <w:style w:type="paragraph" w:styleId="1013" w:customStyle="1">
    <w:name w:val="正文首行缩进1"/>
    <w:basedOn w:val="990"/>
    <w:uiPriority w:val="0"/>
    <w:qFormat/>
    <w:pPr>
      <w:ind w:firstLine="420"/>
    </w:pPr>
  </w:style>
  <w:style w:type="table" w:styleId="1014" w:customStyle="1">
    <w:name w:val="网格型1"/>
    <w:basedOn w:val="985"/>
    <w:uiPriority w:val="0"/>
    <w:qFormat/>
    <w:pPr>
      <w:jc w:val="both"/>
      <w:widowControl w:val="off"/>
    </w:pPr>
    <w:tblPr/>
  </w:style>
  <w:style w:type="character" w:styleId="1015" w:customStyle="1">
    <w:name w:val="尾注引用1"/>
    <w:link w:val="821"/>
    <w:uiPriority w:val="99"/>
    <w:unhideWhenUsed/>
    <w:qFormat/>
    <w:rPr>
      <w:vertAlign w:val="superscript"/>
    </w:rPr>
  </w:style>
  <w:style w:type="character" w:styleId="1016" w:customStyle="1">
    <w:name w:val="页码1"/>
    <w:link w:val="821"/>
    <w:uiPriority w:val="0"/>
    <w:qFormat/>
  </w:style>
  <w:style w:type="character" w:styleId="1017" w:customStyle="1">
    <w:name w:val="已访问的超链接1"/>
    <w:link w:val="821"/>
    <w:uiPriority w:val="99"/>
    <w:unhideWhenUsed/>
    <w:qFormat/>
    <w:rPr>
      <w:color w:val="333333"/>
      <w:u w:val="none"/>
    </w:rPr>
  </w:style>
  <w:style w:type="character" w:styleId="1018" w:customStyle="1">
    <w:name w:val="超链接1"/>
    <w:link w:val="821"/>
    <w:uiPriority w:val="0"/>
    <w:qFormat/>
    <w:rPr>
      <w:color w:val="0000ff"/>
      <w:u w:val="single"/>
    </w:rPr>
  </w:style>
  <w:style w:type="character" w:styleId="1019" w:customStyle="1">
    <w:name w:val="批注引用1"/>
    <w:link w:val="821"/>
    <w:uiPriority w:val="0"/>
    <w:qFormat/>
    <w:rPr>
      <w:sz w:val="21"/>
      <w:szCs w:val="21"/>
    </w:rPr>
  </w:style>
  <w:style w:type="character" w:styleId="1020" w:customStyle="1">
    <w:name w:val="脚注引用1"/>
    <w:link w:val="821"/>
    <w:uiPriority w:val="99"/>
    <w:unhideWhenUsed/>
    <w:qFormat/>
    <w:rPr>
      <w:vertAlign w:val="superscript"/>
    </w:rPr>
  </w:style>
  <w:style w:type="character" w:styleId="1021" w:customStyle="1">
    <w:name w:val="Heading 1 Char"/>
    <w:link w:val="821"/>
    <w:uiPriority w:val="9"/>
    <w:qFormat/>
    <w:rPr>
      <w:rFonts w:ascii="Arial" w:hAnsi="Arial" w:eastAsia="Arial" w:cs="Arial"/>
      <w:sz w:val="40"/>
      <w:szCs w:val="40"/>
    </w:rPr>
  </w:style>
  <w:style w:type="character" w:styleId="1022" w:customStyle="1">
    <w:name w:val="Endnote Text Char"/>
    <w:link w:val="821"/>
    <w:uiPriority w:val="99"/>
    <w:qFormat/>
    <w:rPr>
      <w:sz w:val="20"/>
    </w:rPr>
  </w:style>
  <w:style w:type="character" w:styleId="1023" w:customStyle="1">
    <w:name w:val="Header Char"/>
    <w:link w:val="821"/>
    <w:uiPriority w:val="99"/>
    <w:qFormat/>
  </w:style>
  <w:style w:type="character" w:styleId="1024" w:customStyle="1">
    <w:name w:val="Heading 6 Char"/>
    <w:link w:val="821"/>
    <w:uiPriority w:val="9"/>
    <w:qFormat/>
    <w:rPr>
      <w:rFonts w:ascii="Arial" w:hAnsi="Arial" w:eastAsia="Arial" w:cs="Arial"/>
      <w:b/>
      <w:bCs/>
      <w:sz w:val="22"/>
      <w:szCs w:val="22"/>
    </w:rPr>
  </w:style>
  <w:style w:type="character" w:styleId="1025" w:customStyle="1">
    <w:name w:val="Heading 2 Char"/>
    <w:link w:val="821"/>
    <w:uiPriority w:val="9"/>
    <w:qFormat/>
    <w:rPr>
      <w:rFonts w:ascii="Arial" w:hAnsi="Arial" w:eastAsia="Arial" w:cs="Arial"/>
      <w:sz w:val="34"/>
    </w:rPr>
  </w:style>
  <w:style w:type="character" w:styleId="1026" w:customStyle="1">
    <w:name w:val="Heading 4 Char"/>
    <w:link w:val="821"/>
    <w:uiPriority w:val="9"/>
    <w:qFormat/>
    <w:rPr>
      <w:rFonts w:ascii="Arial" w:hAnsi="Arial" w:eastAsia="Arial" w:cs="Arial"/>
      <w:b/>
      <w:bCs/>
      <w:sz w:val="26"/>
      <w:szCs w:val="26"/>
    </w:rPr>
  </w:style>
  <w:style w:type="character" w:styleId="1027" w:customStyle="1">
    <w:name w:val="Subtitle Char"/>
    <w:link w:val="821"/>
    <w:uiPriority w:val="11"/>
    <w:qFormat/>
    <w:rPr>
      <w:sz w:val="24"/>
      <w:szCs w:val="24"/>
    </w:rPr>
  </w:style>
  <w:style w:type="character" w:styleId="1028" w:customStyle="1">
    <w:name w:val="明显引用 Char"/>
    <w:link w:val="1029"/>
    <w:uiPriority w:val="30"/>
    <w:qFormat/>
    <w:rPr>
      <w:i/>
    </w:rPr>
  </w:style>
  <w:style w:type="paragraph" w:styleId="1029" w:customStyle="1">
    <w:name w:val="明显引用1"/>
    <w:basedOn w:val="821"/>
    <w:next w:val="821"/>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0" w:customStyle="1">
    <w:name w:val="Heading 8 Char"/>
    <w:link w:val="821"/>
    <w:uiPriority w:val="9"/>
    <w:qFormat/>
    <w:rPr>
      <w:rFonts w:ascii="Arial" w:hAnsi="Arial" w:eastAsia="Arial" w:cs="Arial"/>
      <w:i/>
      <w:iCs/>
      <w:sz w:val="22"/>
      <w:szCs w:val="22"/>
    </w:rPr>
  </w:style>
  <w:style w:type="character" w:styleId="1031" w:customStyle="1">
    <w:name w:val="引用 Char"/>
    <w:link w:val="1032"/>
    <w:uiPriority w:val="29"/>
    <w:qFormat/>
    <w:rPr>
      <w:i/>
    </w:rPr>
  </w:style>
  <w:style w:type="paragraph" w:styleId="1032" w:customStyle="1">
    <w:name w:val="引用1"/>
    <w:basedOn w:val="821"/>
    <w:next w:val="821"/>
    <w:link w:val="1031"/>
    <w:uiPriority w:val="29"/>
    <w:qFormat/>
    <w:pPr>
      <w:ind w:left="720" w:right="720"/>
    </w:pPr>
    <w:rPr>
      <w:i/>
    </w:rPr>
  </w:style>
  <w:style w:type="character" w:styleId="1033" w:customStyle="1">
    <w:name w:val="Footnote Text Char"/>
    <w:link w:val="821"/>
    <w:uiPriority w:val="99"/>
    <w:qFormat/>
    <w:rPr>
      <w:sz w:val="18"/>
    </w:rPr>
  </w:style>
  <w:style w:type="character" w:styleId="1034" w:customStyle="1">
    <w:name w:val="Heading 5 Char"/>
    <w:link w:val="821"/>
    <w:uiPriority w:val="9"/>
    <w:qFormat/>
    <w:rPr>
      <w:rFonts w:ascii="Arial" w:hAnsi="Arial" w:eastAsia="Arial" w:cs="Arial"/>
      <w:b/>
      <w:bCs/>
      <w:sz w:val="24"/>
      <w:szCs w:val="24"/>
    </w:rPr>
  </w:style>
  <w:style w:type="character" w:styleId="1035" w:customStyle="1">
    <w:name w:val="Intense Quote Char"/>
    <w:link w:val="821"/>
    <w:uiPriority w:val="30"/>
    <w:qFormat/>
    <w:rPr>
      <w:i/>
    </w:rPr>
  </w:style>
  <w:style w:type="character" w:styleId="1036" w:customStyle="1">
    <w:name w:val="Heading 3 Char"/>
    <w:link w:val="821"/>
    <w:uiPriority w:val="9"/>
    <w:qFormat/>
    <w:rPr>
      <w:rFonts w:ascii="Arial" w:hAnsi="Arial" w:eastAsia="Arial" w:cs="Arial"/>
      <w:sz w:val="30"/>
      <w:szCs w:val="30"/>
    </w:rPr>
  </w:style>
  <w:style w:type="character" w:styleId="1037" w:customStyle="1">
    <w:name w:val="Caption Char"/>
    <w:link w:val="821"/>
    <w:uiPriority w:val="99"/>
    <w:qFormat/>
  </w:style>
  <w:style w:type="character" w:styleId="1038" w:customStyle="1">
    <w:name w:val="Footer Char"/>
    <w:link w:val="821"/>
    <w:uiPriority w:val="99"/>
    <w:qFormat/>
  </w:style>
  <w:style w:type="character" w:styleId="1039" w:customStyle="1">
    <w:name w:val="Quote Char"/>
    <w:link w:val="821"/>
    <w:uiPriority w:val="29"/>
    <w:qFormat/>
    <w:rPr>
      <w:i/>
    </w:rPr>
  </w:style>
  <w:style w:type="character" w:styleId="1040" w:customStyle="1">
    <w:name w:val="Title Char"/>
    <w:link w:val="821"/>
    <w:uiPriority w:val="10"/>
    <w:qFormat/>
    <w:rPr>
      <w:sz w:val="48"/>
      <w:szCs w:val="48"/>
    </w:rPr>
  </w:style>
  <w:style w:type="character" w:styleId="1041" w:customStyle="1">
    <w:name w:val="Heading 9 Char"/>
    <w:link w:val="821"/>
    <w:uiPriority w:val="9"/>
    <w:qFormat/>
    <w:rPr>
      <w:rFonts w:ascii="Arial" w:hAnsi="Arial" w:eastAsia="Arial" w:cs="Arial"/>
      <w:i/>
      <w:iCs/>
      <w:sz w:val="21"/>
      <w:szCs w:val="21"/>
    </w:rPr>
  </w:style>
  <w:style w:type="character" w:styleId="1042" w:customStyle="1">
    <w:name w:val="Heading 7 Char"/>
    <w:link w:val="821"/>
    <w:uiPriority w:val="9"/>
    <w:qFormat/>
    <w:rPr>
      <w:rFonts w:ascii="Arial" w:hAnsi="Arial" w:eastAsia="Arial" w:cs="Arial"/>
      <w:b/>
      <w:bCs/>
      <w:i/>
      <w:iCs/>
      <w:sz w:val="22"/>
      <w:szCs w:val="22"/>
    </w:rPr>
  </w:style>
  <w:style w:type="paragraph" w:styleId="1043" w:customStyle="1">
    <w:name w:val="TOC 标题1"/>
    <w:uiPriority w:val="39"/>
    <w:unhideWhenUsed/>
    <w:qFormat/>
    <w:rPr>
      <w:rFonts w:hint="default" w:ascii="Times New Roman" w:hAnsi="Times New Roman" w:eastAsia="宋体" w:cs="Times New Roman"/>
      <w:lang w:eastAsia="zh-CN"/>
    </w:rPr>
  </w:style>
  <w:style w:type="paragraph" w:styleId="1044" w:customStyle="1">
    <w:name w:val="DAS正文"/>
    <w:basedOn w:val="821"/>
    <w:uiPriority w:val="0"/>
    <w:qFormat/>
    <w:pPr>
      <w:ind w:right="181" w:firstLine="480"/>
      <w:spacing w:line="360" w:lineRule="auto"/>
    </w:pPr>
    <w:rPr>
      <w:rFonts w:ascii="Verdana" w:hAnsi="Verdana"/>
      <w:sz w:val="24"/>
    </w:rPr>
  </w:style>
  <w:style w:type="paragraph" w:styleId="1045" w:customStyle="1">
    <w:name w:val="UserStyle_0"/>
    <w:basedOn w:val="821"/>
    <w:next w:val="821"/>
    <w:uiPriority w:val="0"/>
    <w:qFormat/>
  </w:style>
  <w:style w:type="paragraph" w:styleId="1046" w:customStyle="1">
    <w:name w:val="列出段落"/>
    <w:basedOn w:val="821"/>
    <w:uiPriority w:val="34"/>
    <w:qFormat/>
    <w:pPr>
      <w:contextualSpacing/>
      <w:ind w:left="720"/>
    </w:pPr>
  </w:style>
  <w:style w:type="paragraph" w:styleId="1047" w:customStyle="1">
    <w:name w:val="TOC 标题11"/>
    <w:uiPriority w:val="39"/>
    <w:unhideWhenUsed/>
    <w:qFormat/>
    <w:rPr>
      <w:rFonts w:hint="default" w:ascii="Times New Roman" w:hAnsi="Times New Roman" w:eastAsia="宋体" w:cs="Times New Roman"/>
      <w:lang w:eastAsia="zh-CN"/>
    </w:rPr>
  </w:style>
  <w:style w:type="paragraph" w:styleId="1048" w:customStyle="1">
    <w:name w:val="普通(网站)1"/>
    <w:basedOn w:val="862"/>
    <w:uiPriority w:val="0"/>
    <w:qFormat/>
    <w:pPr>
      <w:jc w:val="left"/>
      <w:spacing w:before="100" w:beforeAutospacing="1" w:after="100" w:afterAutospacing="1"/>
      <w:widowControl/>
    </w:pPr>
    <w:rPr>
      <w:rFonts w:ascii="宋体" w:hAnsi="宋体"/>
      <w:sz w:val="24"/>
    </w:rPr>
  </w:style>
  <w:style w:type="paragraph" w:styleId="1049" w:customStyle="1">
    <w:name w:val="无间隔1"/>
    <w:uiPriority w:val="0"/>
    <w:qFormat/>
    <w:rPr>
      <w:rFonts w:hint="default" w:ascii="Times New Roman" w:hAnsi="Times New Roman" w:eastAsia="宋体" w:cs="Times New Roman"/>
      <w:sz w:val="22"/>
      <w:szCs w:val="22"/>
    </w:rPr>
  </w:style>
  <w:style w:type="paragraph" w:styleId="1050" w:customStyle="1">
    <w:name w:val="默认段落字体 Para Char Char Char Char Char Char Char"/>
    <w:basedOn w:val="821"/>
    <w:uiPriority w:val="0"/>
    <w:qFormat/>
    <w:rPr>
      <w:rFonts w:ascii="Tahoma" w:hAnsi="Tahoma"/>
      <w:sz w:val="24"/>
      <w:szCs w:val="20"/>
    </w:rPr>
  </w:style>
  <w:style w:type="paragraph" w:styleId="1051" w:customStyle="1">
    <w:name w:val="普通正文"/>
    <w:basedOn w:val="821"/>
    <w:uiPriority w:val="0"/>
    <w:qFormat/>
    <w:pPr>
      <w:ind w:firstLine="480"/>
      <w:jc w:val="left"/>
      <w:spacing w:before="120" w:after="120" w:line="360" w:lineRule="auto"/>
    </w:pPr>
    <w:rPr>
      <w:rFonts w:ascii="Arial" w:hAnsi="Arial"/>
      <w:sz w:val="24"/>
    </w:rPr>
  </w:style>
  <w:style w:type="paragraph" w:styleId="1052" w:customStyle="1">
    <w:name w:val="Char"/>
    <w:basedOn w:val="821"/>
    <w:uiPriority w:val="0"/>
    <w:qFormat/>
    <w:pPr>
      <w:tabs>
        <w:tab w:val="left" w:pos="360" w:leader="none"/>
      </w:tabs>
    </w:pPr>
    <w:rPr>
      <w:sz w:val="24"/>
    </w:rPr>
  </w:style>
  <w:style w:type="paragraph" w:styleId="1053" w:customStyle="1">
    <w:name w:val="_HT_正文"/>
    <w:basedOn w:val="821"/>
    <w:uiPriority w:val="0"/>
    <w:qFormat/>
    <w:pPr>
      <w:ind w:firstLine="200"/>
      <w:spacing w:line="360" w:lineRule="auto"/>
    </w:pPr>
    <w:rPr>
      <w:sz w:val="24"/>
    </w:rPr>
  </w:style>
  <w:style w:type="paragraph" w:styleId="1054" w:customStyle="1">
    <w:name w:val="p0"/>
    <w:basedOn w:val="821"/>
    <w:uiPriority w:val="0"/>
    <w:qFormat/>
    <w:pPr>
      <w:widowControl/>
    </w:pPr>
    <w:rPr>
      <w:szCs w:val="21"/>
    </w:rPr>
  </w:style>
  <w:style w:type="paragraph" w:styleId="1055" w:customStyle="1">
    <w:name w:val="无间隔2"/>
    <w:uiPriority w:val="1"/>
    <w:qFormat/>
    <w:rPr>
      <w:rFonts w:hint="default" w:ascii="Times New Roman" w:hAnsi="Times New Roman" w:eastAsia="宋体" w:cs="Times New Roman"/>
      <w:lang w:eastAsia="zh-CN"/>
    </w:rPr>
  </w:style>
  <w:style w:type="paragraph" w:styleId="1056" w:customStyle="1">
    <w:name w:val="正文49"/>
    <w:uiPriority w:val="0"/>
    <w:qFormat/>
    <w:pPr>
      <w:jc w:val="both"/>
      <w:widowControl w:val="off"/>
    </w:pPr>
    <w:rPr>
      <w:rFonts w:hint="default" w:ascii="Times New Roman" w:hAnsi="Times New Roman" w:eastAsia="宋体" w:cs="Times New Roman"/>
      <w:sz w:val="21"/>
      <w:szCs w:val="22"/>
      <w:lang w:eastAsia="zh-CN"/>
    </w:rPr>
  </w:style>
  <w:style w:type="paragraph" w:styleId="1057" w:customStyle="1">
    <w:name w:val="投标文件正文"/>
    <w:basedOn w:val="821"/>
    <w:uiPriority w:val="0"/>
    <w:qFormat/>
    <w:pPr>
      <w:ind w:firstLine="200"/>
      <w:spacing w:before="40" w:after="40" w:line="400" w:lineRule="exact"/>
    </w:pPr>
    <w:rPr>
      <w:sz w:val="24"/>
    </w:rPr>
  </w:style>
  <w:style w:type="table" w:styleId="1058" w:customStyle="1">
    <w:name w:val="List Table 5 Dark - Accent 6"/>
    <w:basedOn w:val="985"/>
    <w:uiPriority w:val="99"/>
    <w:qFormat/>
    <w:tblPr/>
  </w:style>
  <w:style w:type="table" w:styleId="1059" w:customStyle="1">
    <w:name w:val="Grid Table 1 Light - Accent 3"/>
    <w:basedOn w:val="985"/>
    <w:uiPriority w:val="99"/>
    <w:qFormat/>
    <w:tblPr/>
  </w:style>
  <w:style w:type="table" w:styleId="1060" w:customStyle="1">
    <w:name w:val="Grid Table 1 Light - Accent 2"/>
    <w:basedOn w:val="985"/>
    <w:uiPriority w:val="99"/>
    <w:qFormat/>
    <w:tblPr/>
  </w:style>
  <w:style w:type="table" w:styleId="1061" w:customStyle="1">
    <w:name w:val="List Table 3 - Accent 3"/>
    <w:basedOn w:val="985"/>
    <w:uiPriority w:val="99"/>
    <w:qFormat/>
    <w:tblPr/>
  </w:style>
  <w:style w:type="table" w:styleId="1062" w:customStyle="1">
    <w:name w:val="Grid Table 2 - Accent 1"/>
    <w:basedOn w:val="985"/>
    <w:uiPriority w:val="99"/>
    <w:qFormat/>
    <w:tblPr/>
  </w:style>
  <w:style w:type="table" w:styleId="1063" w:customStyle="1">
    <w:name w:val="Bordered - Accent 4"/>
    <w:basedOn w:val="985"/>
    <w:uiPriority w:val="99"/>
    <w:qFormat/>
    <w:tblPr/>
  </w:style>
  <w:style w:type="table" w:styleId="1064" w:customStyle="1">
    <w:name w:val="Grid Table 1 Light - Accent 5"/>
    <w:basedOn w:val="985"/>
    <w:uiPriority w:val="99"/>
    <w:qFormat/>
    <w:tblPr/>
  </w:style>
  <w:style w:type="table" w:styleId="1065" w:customStyle="1">
    <w:name w:val="Grid Table 2 - Accent 5"/>
    <w:basedOn w:val="985"/>
    <w:uiPriority w:val="99"/>
    <w:qFormat/>
    <w:tblPr/>
  </w:style>
  <w:style w:type="table" w:styleId="1066" w:customStyle="1">
    <w:name w:val="List Table 4 - Accent 2"/>
    <w:basedOn w:val="985"/>
    <w:uiPriority w:val="99"/>
    <w:qFormat/>
    <w:tblPr/>
  </w:style>
  <w:style w:type="table" w:styleId="1067" w:customStyle="1">
    <w:name w:val="Grid Table 5 Dark - Accent 2"/>
    <w:basedOn w:val="985"/>
    <w:uiPriority w:val="99"/>
    <w:qFormat/>
    <w:tblPr/>
  </w:style>
  <w:style w:type="table" w:styleId="1068" w:customStyle="1">
    <w:name w:val="清单表 1 浅色1"/>
    <w:basedOn w:val="985"/>
    <w:uiPriority w:val="99"/>
    <w:qFormat/>
    <w:tblPr/>
  </w:style>
  <w:style w:type="table" w:styleId="1069" w:customStyle="1">
    <w:name w:val="List Table 2 - Accent 1"/>
    <w:basedOn w:val="985"/>
    <w:uiPriority w:val="99"/>
    <w:qFormat/>
    <w:tblPr/>
  </w:style>
  <w:style w:type="table" w:styleId="1070" w:customStyle="1">
    <w:name w:val="List Table 6 Colorful - Accent 1"/>
    <w:basedOn w:val="985"/>
    <w:uiPriority w:val="99"/>
    <w:qFormat/>
    <w:tblPr/>
  </w:style>
  <w:style w:type="table" w:styleId="1071" w:customStyle="1">
    <w:name w:val="Grid Table 1 Light - Accent 1"/>
    <w:basedOn w:val="985"/>
    <w:uiPriority w:val="99"/>
    <w:qFormat/>
    <w:tblPr/>
  </w:style>
  <w:style w:type="table" w:styleId="1072" w:customStyle="1">
    <w:name w:val="Grid Table 3 - Accent 3"/>
    <w:basedOn w:val="985"/>
    <w:uiPriority w:val="99"/>
    <w:qFormat/>
    <w:tblPr/>
  </w:style>
  <w:style w:type="table" w:styleId="1073" w:customStyle="1">
    <w:name w:val="Bordered &amp; Lined - Accent 4"/>
    <w:basedOn w:val="985"/>
    <w:uiPriority w:val="99"/>
    <w:qFormat/>
    <w:rPr>
      <w:color w:val="404040"/>
    </w:rPr>
    <w:tblPr/>
  </w:style>
  <w:style w:type="table" w:styleId="1074" w:customStyle="1">
    <w:name w:val="List Table 2 - Accent 2"/>
    <w:basedOn w:val="985"/>
    <w:uiPriority w:val="99"/>
    <w:qFormat/>
    <w:tblPr/>
  </w:style>
  <w:style w:type="table" w:styleId="1075" w:customStyle="1">
    <w:name w:val="清单表 5 深色1"/>
    <w:basedOn w:val="985"/>
    <w:uiPriority w:val="99"/>
    <w:qFormat/>
    <w:tblPr/>
  </w:style>
  <w:style w:type="table" w:styleId="1076" w:customStyle="1">
    <w:name w:val="Lined - Accent 5"/>
    <w:basedOn w:val="985"/>
    <w:uiPriority w:val="99"/>
    <w:qFormat/>
    <w:rPr>
      <w:color w:val="404040"/>
    </w:rPr>
    <w:tblPr/>
  </w:style>
  <w:style w:type="table" w:styleId="1077" w:customStyle="1">
    <w:name w:val="Bordered - Accent 6"/>
    <w:basedOn w:val="985"/>
    <w:uiPriority w:val="99"/>
    <w:qFormat/>
    <w:tblPr/>
  </w:style>
  <w:style w:type="table" w:styleId="1078" w:customStyle="1">
    <w:name w:val="清单表 6 彩色1"/>
    <w:basedOn w:val="985"/>
    <w:uiPriority w:val="99"/>
    <w:qFormat/>
    <w:tblPr/>
  </w:style>
  <w:style w:type="table" w:styleId="1079" w:customStyle="1">
    <w:name w:val="Grid Table 5 Dark- Accent 1"/>
    <w:basedOn w:val="985"/>
    <w:uiPriority w:val="99"/>
    <w:qFormat/>
    <w:tblPr/>
  </w:style>
  <w:style w:type="table" w:styleId="1080" w:customStyle="1">
    <w:name w:val="Grid Table 6 Colorful - Accent 6"/>
    <w:basedOn w:val="985"/>
    <w:uiPriority w:val="99"/>
    <w:qFormat/>
    <w:tblPr/>
  </w:style>
  <w:style w:type="table" w:styleId="1081" w:customStyle="1">
    <w:name w:val="List Table 3 - Accent 5"/>
    <w:basedOn w:val="985"/>
    <w:uiPriority w:val="99"/>
    <w:qFormat/>
    <w:tblPr/>
  </w:style>
  <w:style w:type="table" w:styleId="1082" w:customStyle="1">
    <w:name w:val="Grid Table 4 - Accent 6"/>
    <w:basedOn w:val="985"/>
    <w:uiPriority w:val="59"/>
    <w:qFormat/>
    <w:tblPr/>
  </w:style>
  <w:style w:type="table" w:styleId="1083" w:customStyle="1">
    <w:name w:val="Bordered - Accent 3"/>
    <w:basedOn w:val="985"/>
    <w:uiPriority w:val="99"/>
    <w:qFormat/>
    <w:tblPr/>
  </w:style>
  <w:style w:type="table" w:styleId="1084" w:customStyle="1">
    <w:name w:val="List Table 4 - Accent 3"/>
    <w:basedOn w:val="985"/>
    <w:uiPriority w:val="99"/>
    <w:qFormat/>
    <w:tblPr/>
  </w:style>
  <w:style w:type="table" w:styleId="1085" w:customStyle="1">
    <w:name w:val="网格表 5 深色1"/>
    <w:basedOn w:val="985"/>
    <w:uiPriority w:val="99"/>
    <w:qFormat/>
    <w:tblPr/>
  </w:style>
  <w:style w:type="table" w:styleId="1086" w:customStyle="1">
    <w:name w:val="Grid Table 2 - Accent 6"/>
    <w:basedOn w:val="985"/>
    <w:uiPriority w:val="99"/>
    <w:qFormat/>
    <w:tblPr/>
  </w:style>
  <w:style w:type="table" w:styleId="1087" w:customStyle="1">
    <w:name w:val="List Table 4 - Accent 4"/>
    <w:basedOn w:val="985"/>
    <w:uiPriority w:val="99"/>
    <w:qFormat/>
    <w:tblPr/>
  </w:style>
  <w:style w:type="table" w:styleId="1088" w:customStyle="1">
    <w:name w:val="Lined - Accent 3"/>
    <w:basedOn w:val="985"/>
    <w:uiPriority w:val="99"/>
    <w:qFormat/>
    <w:rPr>
      <w:color w:val="404040"/>
    </w:rPr>
    <w:tblPr/>
  </w:style>
  <w:style w:type="table" w:styleId="1089" w:customStyle="1">
    <w:name w:val="Grid Table 2 - Accent 2"/>
    <w:basedOn w:val="985"/>
    <w:uiPriority w:val="99"/>
    <w:qFormat/>
    <w:tblPr/>
  </w:style>
  <w:style w:type="table" w:styleId="1090" w:customStyle="1">
    <w:name w:val="Grid Table 7 Colorful - Accent 3"/>
    <w:basedOn w:val="985"/>
    <w:uiPriority w:val="99"/>
    <w:qFormat/>
    <w:tblPr/>
  </w:style>
  <w:style w:type="table" w:styleId="1091" w:customStyle="1">
    <w:name w:val="网格表 31"/>
    <w:basedOn w:val="985"/>
    <w:uiPriority w:val="99"/>
    <w:qFormat/>
    <w:tblPr/>
  </w:style>
  <w:style w:type="table" w:styleId="1092" w:customStyle="1">
    <w:name w:val="List Table 5 Dark - Accent 2"/>
    <w:basedOn w:val="985"/>
    <w:uiPriority w:val="99"/>
    <w:qFormat/>
    <w:tblPr/>
  </w:style>
  <w:style w:type="table" w:styleId="1093" w:customStyle="1">
    <w:name w:val="List Table 1 Light - Accent 5"/>
    <w:basedOn w:val="985"/>
    <w:uiPriority w:val="99"/>
    <w:qFormat/>
    <w:tblPr/>
  </w:style>
  <w:style w:type="table" w:styleId="1094" w:customStyle="1">
    <w:name w:val="List Table 1 Light - Accent 2"/>
    <w:basedOn w:val="985"/>
    <w:uiPriority w:val="99"/>
    <w:qFormat/>
    <w:tblPr/>
  </w:style>
  <w:style w:type="table" w:styleId="1095" w:customStyle="1">
    <w:name w:val="无格式表格 31"/>
    <w:basedOn w:val="985"/>
    <w:uiPriority w:val="99"/>
    <w:qFormat/>
    <w:tblPr/>
  </w:style>
  <w:style w:type="table" w:styleId="1096" w:customStyle="1">
    <w:name w:val="Bordered &amp; Lined - Accent 2"/>
    <w:basedOn w:val="985"/>
    <w:uiPriority w:val="99"/>
    <w:qFormat/>
    <w:rPr>
      <w:color w:val="404040"/>
    </w:rPr>
    <w:tblPr/>
  </w:style>
  <w:style w:type="table" w:styleId="1097" w:customStyle="1">
    <w:name w:val="网格表 1 浅色1"/>
    <w:basedOn w:val="985"/>
    <w:uiPriority w:val="99"/>
    <w:qFormat/>
    <w:tblPr/>
  </w:style>
  <w:style w:type="table" w:styleId="1098" w:customStyle="1">
    <w:name w:val="网格表 6 彩色1"/>
    <w:basedOn w:val="985"/>
    <w:uiPriority w:val="99"/>
    <w:qFormat/>
    <w:tblPr/>
  </w:style>
  <w:style w:type="table" w:styleId="1099" w:customStyle="1">
    <w:name w:val="List Table 1 Light - Accent 3"/>
    <w:basedOn w:val="985"/>
    <w:uiPriority w:val="99"/>
    <w:qFormat/>
    <w:tblPr/>
  </w:style>
  <w:style w:type="table" w:styleId="1100" w:customStyle="1">
    <w:name w:val="Lined - Accent 2"/>
    <w:basedOn w:val="985"/>
    <w:uiPriority w:val="99"/>
    <w:qFormat/>
    <w:rPr>
      <w:color w:val="404040"/>
    </w:rPr>
    <w:tblPr/>
  </w:style>
  <w:style w:type="table" w:styleId="1101" w:customStyle="1">
    <w:name w:val="List Table 6 Colorful - Accent 4"/>
    <w:basedOn w:val="985"/>
    <w:uiPriority w:val="99"/>
    <w:qFormat/>
    <w:tblPr/>
  </w:style>
  <w:style w:type="table" w:styleId="1102" w:customStyle="1">
    <w:name w:val="Grid Table 6 Colorful - Accent 3"/>
    <w:basedOn w:val="985"/>
    <w:uiPriority w:val="99"/>
    <w:qFormat/>
    <w:tblPr/>
  </w:style>
  <w:style w:type="table" w:styleId="1103" w:customStyle="1">
    <w:name w:val="List Table 5 Dark - Accent 5"/>
    <w:basedOn w:val="985"/>
    <w:uiPriority w:val="99"/>
    <w:qFormat/>
    <w:tblPr/>
  </w:style>
  <w:style w:type="table" w:styleId="1104" w:customStyle="1">
    <w:name w:val="无格式表格 51"/>
    <w:basedOn w:val="985"/>
    <w:uiPriority w:val="99"/>
    <w:qFormat/>
    <w:tblPr/>
  </w:style>
  <w:style w:type="table" w:styleId="1105" w:customStyle="1">
    <w:name w:val="List Table 7 Colorful - Accent 3"/>
    <w:basedOn w:val="985"/>
    <w:uiPriority w:val="99"/>
    <w:qFormat/>
    <w:tblPr/>
  </w:style>
  <w:style w:type="table" w:styleId="1106" w:customStyle="1">
    <w:name w:val="Grid Table 4 - Accent 2"/>
    <w:basedOn w:val="985"/>
    <w:uiPriority w:val="59"/>
    <w:qFormat/>
    <w:tblPr/>
  </w:style>
  <w:style w:type="table" w:styleId="1107" w:customStyle="1">
    <w:name w:val="List Table 3 - Accent 2"/>
    <w:basedOn w:val="985"/>
    <w:uiPriority w:val="99"/>
    <w:qFormat/>
    <w:tblPr/>
  </w:style>
  <w:style w:type="table" w:styleId="1108" w:customStyle="1">
    <w:name w:val="网格表 41"/>
    <w:basedOn w:val="985"/>
    <w:uiPriority w:val="59"/>
    <w:qFormat/>
    <w:tblPr/>
  </w:style>
  <w:style w:type="table" w:styleId="1109" w:customStyle="1">
    <w:name w:val="Bordered &amp; Lined - Accent 3"/>
    <w:basedOn w:val="985"/>
    <w:uiPriority w:val="99"/>
    <w:qFormat/>
    <w:rPr>
      <w:color w:val="404040"/>
    </w:rPr>
    <w:tblPr/>
  </w:style>
  <w:style w:type="table" w:styleId="1110" w:customStyle="1">
    <w:name w:val="List Table 4 - Accent 6"/>
    <w:basedOn w:val="985"/>
    <w:uiPriority w:val="99"/>
    <w:qFormat/>
    <w:tblPr/>
  </w:style>
  <w:style w:type="table" w:styleId="1111" w:customStyle="1">
    <w:name w:val="Grid Table 5 Dark - Accent 6"/>
    <w:basedOn w:val="985"/>
    <w:uiPriority w:val="99"/>
    <w:qFormat/>
    <w:tblPr/>
  </w:style>
  <w:style w:type="table" w:styleId="1112" w:customStyle="1">
    <w:name w:val="Lined - Accent 6"/>
    <w:basedOn w:val="985"/>
    <w:uiPriority w:val="99"/>
    <w:qFormat/>
    <w:rPr>
      <w:color w:val="404040"/>
    </w:rPr>
    <w:tblPr/>
  </w:style>
  <w:style w:type="table" w:styleId="1113" w:customStyle="1">
    <w:name w:val="List Table 6 Colorful - Accent 5"/>
    <w:basedOn w:val="985"/>
    <w:uiPriority w:val="99"/>
    <w:qFormat/>
    <w:tblPr/>
  </w:style>
  <w:style w:type="table" w:styleId="1114" w:customStyle="1">
    <w:name w:val="List Table 7 Colorful - Accent 1"/>
    <w:basedOn w:val="985"/>
    <w:uiPriority w:val="99"/>
    <w:qFormat/>
    <w:tblPr/>
  </w:style>
  <w:style w:type="table" w:styleId="1115" w:customStyle="1">
    <w:name w:val="Bordered &amp; Lined - Accent 1"/>
    <w:basedOn w:val="985"/>
    <w:uiPriority w:val="99"/>
    <w:qFormat/>
    <w:rPr>
      <w:color w:val="404040"/>
    </w:rPr>
    <w:tblPr/>
  </w:style>
  <w:style w:type="table" w:styleId="1116" w:customStyle="1">
    <w:name w:val="List Table 1 Light - Accent 6"/>
    <w:basedOn w:val="985"/>
    <w:uiPriority w:val="99"/>
    <w:qFormat/>
    <w:tblPr/>
  </w:style>
  <w:style w:type="table" w:styleId="1117" w:customStyle="1">
    <w:name w:val="Grid Table 6 Colorful - Accent 2"/>
    <w:basedOn w:val="985"/>
    <w:uiPriority w:val="99"/>
    <w:qFormat/>
    <w:tblPr/>
  </w:style>
  <w:style w:type="table" w:styleId="1118" w:customStyle="1">
    <w:name w:val="Bordered"/>
    <w:basedOn w:val="985"/>
    <w:uiPriority w:val="99"/>
    <w:qFormat/>
    <w:tblPr/>
  </w:style>
  <w:style w:type="table" w:styleId="1119" w:customStyle="1">
    <w:name w:val="网格表 7 彩色1"/>
    <w:basedOn w:val="985"/>
    <w:uiPriority w:val="99"/>
    <w:qFormat/>
    <w:tblPr/>
  </w:style>
  <w:style w:type="table" w:styleId="1120" w:customStyle="1">
    <w:name w:val="Grid Table 1 Light - Accent 4"/>
    <w:basedOn w:val="985"/>
    <w:uiPriority w:val="99"/>
    <w:qFormat/>
    <w:tblPr/>
  </w:style>
  <w:style w:type="table" w:styleId="1121" w:customStyle="1">
    <w:name w:val="List Table 3 - Accent 1"/>
    <w:basedOn w:val="985"/>
    <w:uiPriority w:val="99"/>
    <w:qFormat/>
    <w:tblPr/>
  </w:style>
  <w:style w:type="table" w:styleId="1122" w:customStyle="1">
    <w:name w:val="Grid Table 3 - Accent 6"/>
    <w:basedOn w:val="985"/>
    <w:uiPriority w:val="99"/>
    <w:qFormat/>
    <w:tblPr/>
  </w:style>
  <w:style w:type="table" w:styleId="1123" w:customStyle="1">
    <w:name w:val="Grid Table 3 - Accent 1"/>
    <w:basedOn w:val="985"/>
    <w:uiPriority w:val="99"/>
    <w:qFormat/>
    <w:tblPr/>
  </w:style>
  <w:style w:type="table" w:styleId="1124" w:customStyle="1">
    <w:name w:val="List Table 4 - Accent 5"/>
    <w:basedOn w:val="985"/>
    <w:uiPriority w:val="99"/>
    <w:qFormat/>
    <w:tblPr/>
  </w:style>
  <w:style w:type="table" w:styleId="1125" w:customStyle="1">
    <w:name w:val="Grid Table 7 Colorful - Accent 1"/>
    <w:basedOn w:val="985"/>
    <w:uiPriority w:val="99"/>
    <w:qFormat/>
    <w:tblPr/>
  </w:style>
  <w:style w:type="table" w:styleId="1126" w:customStyle="1">
    <w:name w:val="List Table 2 - Accent 6"/>
    <w:basedOn w:val="985"/>
    <w:uiPriority w:val="99"/>
    <w:qFormat/>
    <w:tblPr/>
  </w:style>
  <w:style w:type="table" w:styleId="1127" w:customStyle="1">
    <w:name w:val="List Table 6 Colorful - Accent 2"/>
    <w:basedOn w:val="985"/>
    <w:uiPriority w:val="99"/>
    <w:qFormat/>
    <w:tblPr/>
  </w:style>
  <w:style w:type="table" w:styleId="1128" w:customStyle="1">
    <w:name w:val="Bordered &amp; Lined - Accent 6"/>
    <w:basedOn w:val="985"/>
    <w:uiPriority w:val="99"/>
    <w:qFormat/>
    <w:rPr>
      <w:color w:val="404040"/>
    </w:rPr>
    <w:tblPr/>
  </w:style>
  <w:style w:type="table" w:styleId="1129" w:customStyle="1">
    <w:name w:val="Bordered - Accent 5"/>
    <w:basedOn w:val="985"/>
    <w:uiPriority w:val="99"/>
    <w:qFormat/>
    <w:tblPr/>
  </w:style>
  <w:style w:type="table" w:styleId="1130" w:customStyle="1">
    <w:name w:val="List Table 2 - Accent 4"/>
    <w:basedOn w:val="985"/>
    <w:uiPriority w:val="99"/>
    <w:qFormat/>
    <w:tblPr/>
  </w:style>
  <w:style w:type="table" w:styleId="1131" w:customStyle="1">
    <w:name w:val="List Table 3 - Accent 6"/>
    <w:basedOn w:val="985"/>
    <w:uiPriority w:val="99"/>
    <w:qFormat/>
    <w:tblPr/>
  </w:style>
  <w:style w:type="table" w:styleId="1132" w:customStyle="1">
    <w:name w:val="List Table 2 - Accent 3"/>
    <w:basedOn w:val="985"/>
    <w:uiPriority w:val="99"/>
    <w:qFormat/>
    <w:tblPr/>
  </w:style>
  <w:style w:type="table" w:styleId="1133" w:customStyle="1">
    <w:name w:val="List Table 5 Dark - Accent 3"/>
    <w:basedOn w:val="985"/>
    <w:uiPriority w:val="99"/>
    <w:qFormat/>
    <w:tblPr/>
  </w:style>
  <w:style w:type="table" w:styleId="1134" w:customStyle="1">
    <w:name w:val="无格式表格 41"/>
    <w:basedOn w:val="985"/>
    <w:uiPriority w:val="99"/>
    <w:qFormat/>
    <w:tblPr/>
  </w:style>
  <w:style w:type="table" w:styleId="1135" w:customStyle="1">
    <w:name w:val="Grid Table 7 Colorful - Accent 2"/>
    <w:basedOn w:val="985"/>
    <w:uiPriority w:val="99"/>
    <w:qFormat/>
    <w:tblPr/>
  </w:style>
  <w:style w:type="table" w:styleId="1136" w:customStyle="1">
    <w:name w:val="Grid Table 3 - Accent 5"/>
    <w:basedOn w:val="985"/>
    <w:uiPriority w:val="99"/>
    <w:qFormat/>
    <w:tblPr/>
  </w:style>
  <w:style w:type="table" w:styleId="1137" w:customStyle="1">
    <w:name w:val="Grid Table 2 - Accent 3"/>
    <w:basedOn w:val="985"/>
    <w:uiPriority w:val="99"/>
    <w:qFormat/>
    <w:tblPr/>
  </w:style>
  <w:style w:type="table" w:styleId="1138" w:customStyle="1">
    <w:name w:val="List Table 2 - Accent 5"/>
    <w:basedOn w:val="985"/>
    <w:uiPriority w:val="99"/>
    <w:qFormat/>
    <w:tblPr/>
  </w:style>
  <w:style w:type="table" w:styleId="1139" w:customStyle="1">
    <w:name w:val="Bordered - Accent 1"/>
    <w:basedOn w:val="985"/>
    <w:uiPriority w:val="99"/>
    <w:qFormat/>
    <w:tblPr/>
  </w:style>
  <w:style w:type="table" w:styleId="1140" w:customStyle="1">
    <w:name w:val="List Table 1 Light - Accent 4"/>
    <w:basedOn w:val="985"/>
    <w:uiPriority w:val="99"/>
    <w:qFormat/>
    <w:tblPr/>
  </w:style>
  <w:style w:type="table" w:styleId="1141" w:customStyle="1">
    <w:name w:val="Grid Table 4 - Accent 5"/>
    <w:basedOn w:val="985"/>
    <w:uiPriority w:val="59"/>
    <w:qFormat/>
    <w:tblPr/>
  </w:style>
  <w:style w:type="table" w:styleId="1142" w:customStyle="1">
    <w:name w:val="无格式表格 21"/>
    <w:basedOn w:val="985"/>
    <w:uiPriority w:val="59"/>
    <w:qFormat/>
    <w:tblPr/>
  </w:style>
  <w:style w:type="table" w:styleId="1143" w:customStyle="1">
    <w:name w:val="Grid Table 5 Dark - Accent 3"/>
    <w:basedOn w:val="985"/>
    <w:uiPriority w:val="99"/>
    <w:qFormat/>
    <w:tblPr/>
  </w:style>
  <w:style w:type="table" w:styleId="1144" w:customStyle="1">
    <w:name w:val="Grid Table 3 - Accent 4"/>
    <w:basedOn w:val="985"/>
    <w:uiPriority w:val="99"/>
    <w:qFormat/>
    <w:tblPr/>
  </w:style>
  <w:style w:type="table" w:styleId="1145" w:customStyle="1">
    <w:name w:val="清单表 21"/>
    <w:basedOn w:val="985"/>
    <w:uiPriority w:val="99"/>
    <w:qFormat/>
    <w:tblPr/>
  </w:style>
  <w:style w:type="table" w:styleId="1146" w:customStyle="1">
    <w:name w:val="Grid Table 7 Colorful - Accent 4"/>
    <w:basedOn w:val="985"/>
    <w:uiPriority w:val="99"/>
    <w:qFormat/>
    <w:tblPr/>
  </w:style>
  <w:style w:type="table" w:styleId="1147" w:customStyle="1">
    <w:name w:val="Grid Table 1 Light - Accent 6"/>
    <w:basedOn w:val="985"/>
    <w:uiPriority w:val="99"/>
    <w:qFormat/>
    <w:tblPr/>
  </w:style>
  <w:style w:type="table" w:styleId="1148" w:customStyle="1">
    <w:name w:val="Bordered &amp; Lined - Accent"/>
    <w:basedOn w:val="985"/>
    <w:uiPriority w:val="99"/>
    <w:qFormat/>
    <w:rPr>
      <w:color w:val="404040"/>
    </w:rPr>
    <w:tblPr/>
  </w:style>
  <w:style w:type="table" w:styleId="1149" w:customStyle="1">
    <w:name w:val="清单表 41"/>
    <w:basedOn w:val="985"/>
    <w:uiPriority w:val="99"/>
    <w:qFormat/>
    <w:tblPr/>
  </w:style>
  <w:style w:type="table" w:styleId="1150" w:customStyle="1">
    <w:name w:val="List Table 7 Colorful - Accent 2"/>
    <w:basedOn w:val="985"/>
    <w:uiPriority w:val="99"/>
    <w:qFormat/>
    <w:tblPr/>
  </w:style>
  <w:style w:type="table" w:styleId="1151" w:customStyle="1">
    <w:name w:val="Grid Table 7 Colorful - Accent 5"/>
    <w:basedOn w:val="985"/>
    <w:uiPriority w:val="99"/>
    <w:qFormat/>
    <w:tblPr/>
  </w:style>
  <w:style w:type="table" w:styleId="1152" w:customStyle="1">
    <w:name w:val="Lined - Accent"/>
    <w:basedOn w:val="985"/>
    <w:uiPriority w:val="99"/>
    <w:qFormat/>
    <w:rPr>
      <w:color w:val="404040"/>
    </w:rPr>
    <w:tblPr/>
  </w:style>
  <w:style w:type="table" w:styleId="1153" w:customStyle="1">
    <w:name w:val="无格式表格 11"/>
    <w:basedOn w:val="985"/>
    <w:uiPriority w:val="59"/>
    <w:qFormat/>
    <w:tblPr/>
  </w:style>
  <w:style w:type="table" w:styleId="1154" w:customStyle="1">
    <w:name w:val="Grid Table 6 Colorful - Accent 5"/>
    <w:basedOn w:val="985"/>
    <w:uiPriority w:val="99"/>
    <w:qFormat/>
    <w:tblPr/>
  </w:style>
  <w:style w:type="table" w:styleId="1155" w:customStyle="1">
    <w:name w:val="List Table 7 Colorful - Accent 4"/>
    <w:basedOn w:val="985"/>
    <w:uiPriority w:val="99"/>
    <w:qFormat/>
    <w:tblPr/>
  </w:style>
  <w:style w:type="table" w:styleId="1156" w:customStyle="1">
    <w:name w:val="List Table 6 Colorful - Accent 3"/>
    <w:basedOn w:val="985"/>
    <w:uiPriority w:val="99"/>
    <w:qFormat/>
    <w:tblPr/>
  </w:style>
  <w:style w:type="table" w:styleId="1157" w:customStyle="1">
    <w:name w:val="List Table 7 Colorful - Accent 6"/>
    <w:basedOn w:val="985"/>
    <w:uiPriority w:val="99"/>
    <w:qFormat/>
    <w:tblPr/>
  </w:style>
  <w:style w:type="table" w:styleId="1158" w:customStyle="1">
    <w:name w:val="清单表 31"/>
    <w:basedOn w:val="985"/>
    <w:uiPriority w:val="99"/>
    <w:qFormat/>
    <w:tblPr/>
  </w:style>
  <w:style w:type="table" w:styleId="1159" w:customStyle="1">
    <w:name w:val="Grid Table 5 Dark - Accent 5"/>
    <w:basedOn w:val="985"/>
    <w:uiPriority w:val="99"/>
    <w:qFormat/>
    <w:tblPr/>
  </w:style>
  <w:style w:type="table" w:styleId="1160" w:customStyle="1">
    <w:name w:val="List Table 5 Dark - Accent 1"/>
    <w:basedOn w:val="985"/>
    <w:uiPriority w:val="99"/>
    <w:qFormat/>
    <w:tblPr/>
  </w:style>
  <w:style w:type="table" w:styleId="1161" w:customStyle="1">
    <w:name w:val="Bordered - Accent 2"/>
    <w:basedOn w:val="985"/>
    <w:uiPriority w:val="99"/>
    <w:qFormat/>
    <w:tblPr/>
  </w:style>
  <w:style w:type="table" w:styleId="1162" w:customStyle="1">
    <w:name w:val="List Table 1 Light - Accent 1"/>
    <w:basedOn w:val="985"/>
    <w:uiPriority w:val="99"/>
    <w:qFormat/>
    <w:tblPr/>
  </w:style>
  <w:style w:type="table" w:styleId="1163" w:customStyle="1">
    <w:name w:val="List Table 3 - Accent 4"/>
    <w:basedOn w:val="985"/>
    <w:uiPriority w:val="99"/>
    <w:qFormat/>
    <w:tblPr/>
  </w:style>
  <w:style w:type="table" w:styleId="1164" w:customStyle="1">
    <w:name w:val="Grid Table 6 Colorful - Accent 4"/>
    <w:basedOn w:val="985"/>
    <w:uiPriority w:val="99"/>
    <w:qFormat/>
    <w:tblPr/>
  </w:style>
  <w:style w:type="table" w:styleId="1165" w:customStyle="1">
    <w:name w:val="Grid Table 4 - Accent 4"/>
    <w:basedOn w:val="985"/>
    <w:uiPriority w:val="59"/>
    <w:qFormat/>
    <w:tblPr/>
  </w:style>
  <w:style w:type="table" w:styleId="1166" w:customStyle="1">
    <w:name w:val="List Table 4 - Accent 1"/>
    <w:basedOn w:val="985"/>
    <w:uiPriority w:val="99"/>
    <w:qFormat/>
    <w:tblPr/>
  </w:style>
  <w:style w:type="table" w:styleId="1167" w:customStyle="1">
    <w:name w:val="Grid Table 7 Colorful - Accent 6"/>
    <w:basedOn w:val="985"/>
    <w:uiPriority w:val="99"/>
    <w:qFormat/>
    <w:tblPr/>
  </w:style>
  <w:style w:type="table" w:styleId="1168" w:customStyle="1">
    <w:name w:val="Grid Table 2 - Accent 4"/>
    <w:basedOn w:val="985"/>
    <w:uiPriority w:val="99"/>
    <w:qFormat/>
    <w:tblPr/>
  </w:style>
  <w:style w:type="table" w:styleId="1169" w:customStyle="1">
    <w:name w:val="Table Grid Light"/>
    <w:basedOn w:val="985"/>
    <w:uiPriority w:val="59"/>
    <w:qFormat/>
    <w:tblPr/>
  </w:style>
  <w:style w:type="table" w:styleId="1170" w:customStyle="1">
    <w:name w:val="Grid Table 4 - Accent 1"/>
    <w:basedOn w:val="985"/>
    <w:uiPriority w:val="59"/>
    <w:qFormat/>
    <w:tblPr/>
  </w:style>
  <w:style w:type="table" w:styleId="1171" w:customStyle="1">
    <w:name w:val="Grid Table 6 Colorful - Accent 1"/>
    <w:basedOn w:val="985"/>
    <w:uiPriority w:val="99"/>
    <w:qFormat/>
    <w:tblPr/>
  </w:style>
  <w:style w:type="table" w:styleId="1172" w:customStyle="1">
    <w:name w:val="List Table 7 Colorful - Accent 5"/>
    <w:basedOn w:val="985"/>
    <w:uiPriority w:val="99"/>
    <w:qFormat/>
    <w:tblPr/>
  </w:style>
  <w:style w:type="table" w:styleId="1173" w:customStyle="1">
    <w:name w:val="List Table 5 Dark - Accent 4"/>
    <w:basedOn w:val="985"/>
    <w:uiPriority w:val="99"/>
    <w:qFormat/>
    <w:tblPr/>
  </w:style>
  <w:style w:type="table" w:styleId="1174" w:customStyle="1">
    <w:name w:val="网格表 21"/>
    <w:basedOn w:val="985"/>
    <w:uiPriority w:val="99"/>
    <w:qFormat/>
    <w:tblPr/>
  </w:style>
  <w:style w:type="table" w:styleId="1175" w:customStyle="1">
    <w:name w:val="Grid Table 4 - Accent 3"/>
    <w:basedOn w:val="985"/>
    <w:uiPriority w:val="59"/>
    <w:qFormat/>
    <w:tblPr/>
  </w:style>
  <w:style w:type="table" w:styleId="1176" w:customStyle="1">
    <w:name w:val="Lined - Accent 1"/>
    <w:basedOn w:val="985"/>
    <w:uiPriority w:val="99"/>
    <w:qFormat/>
    <w:rPr>
      <w:color w:val="404040"/>
    </w:rPr>
    <w:tblPr/>
  </w:style>
  <w:style w:type="table" w:styleId="1177" w:customStyle="1">
    <w:name w:val="Grid Table 3 - Accent 2"/>
    <w:basedOn w:val="985"/>
    <w:uiPriority w:val="99"/>
    <w:qFormat/>
    <w:tblPr/>
  </w:style>
  <w:style w:type="table" w:styleId="1178" w:customStyle="1">
    <w:name w:val="清单表 7 彩色1"/>
    <w:basedOn w:val="985"/>
    <w:uiPriority w:val="99"/>
    <w:qFormat/>
    <w:tblPr/>
  </w:style>
  <w:style w:type="table" w:styleId="1179" w:customStyle="1">
    <w:name w:val="Lined - Accent 4"/>
    <w:basedOn w:val="985"/>
    <w:uiPriority w:val="99"/>
    <w:qFormat/>
    <w:rPr>
      <w:color w:val="404040"/>
    </w:rPr>
    <w:tblPr/>
  </w:style>
  <w:style w:type="table" w:styleId="1180" w:customStyle="1">
    <w:name w:val="Grid Table 5 Dark- Accent 4"/>
    <w:basedOn w:val="985"/>
    <w:uiPriority w:val="99"/>
    <w:qFormat/>
    <w:tblPr/>
  </w:style>
  <w:style w:type="table" w:styleId="1181" w:customStyle="1">
    <w:name w:val="Bordered &amp; Lined - Accent 5"/>
    <w:basedOn w:val="985"/>
    <w:uiPriority w:val="99"/>
    <w:qFormat/>
    <w:rPr>
      <w:color w:val="404040"/>
    </w:rPr>
    <w:tblPr/>
  </w:style>
  <w:style w:type="table" w:styleId="1182" w:customStyle="1">
    <w:name w:val="List Table 6 Colorful - Accent 6"/>
    <w:basedOn w:val="985"/>
    <w:uiPriority w:val="99"/>
    <w:qFormat/>
    <w:tblPr/>
  </w:style>
  <w:style w:type="paragraph" w:styleId="1183" w:customStyle="1">
    <w:name w:val="_Style 2"/>
    <w:basedOn w:val="821"/>
    <w:uiPriority w:val="34"/>
    <w:qFormat/>
    <w:pPr>
      <w:contextualSpacing/>
      <w:ind w:left="720"/>
      <w:jc w:val="left"/>
      <w:widowControl/>
    </w:pPr>
    <w:rPr>
      <w:rFonts w:ascii="Calibri" w:hAnsi="Calibri"/>
      <w:sz w:val="24"/>
      <w:lang w:eastAsia="en-US" w:bidi="en-US"/>
    </w:rPr>
  </w:style>
  <w:style w:type="paragraph" w:styleId="1184" w:customStyle="1">
    <w:name w:val="Table Paragraph"/>
    <w:basedOn w:val="821"/>
    <w:uiPriority w:val="1"/>
    <w:qFormat/>
    <w:rPr>
      <w:rFonts w:ascii="宋体" w:hAnsi="宋体" w:cs="宋体"/>
      <w:lang w:val="zh-CN" w:bidi="zh-CN"/>
    </w:rPr>
  </w:style>
  <w:style w:type="character" w:styleId="1185" w:customStyle="1">
    <w:name w:val="font31"/>
    <w:basedOn w:val="870"/>
    <w:link w:val="821"/>
    <w:uiPriority w:val="0"/>
    <w:qFormat/>
    <w:rPr>
      <w:rFonts w:hint="eastAsia" w:ascii="宋体" w:hAnsi="宋体" w:eastAsia="宋体" w:cs="宋体"/>
      <w:color w:val="000000"/>
      <w:sz w:val="24"/>
      <w:szCs w:val="24"/>
      <w:u w:val="none"/>
    </w:rPr>
  </w:style>
  <w:style w:type="paragraph" w:styleId="1186" w:customStyle="1">
    <w:name w:val="目录 11111"/>
    <w:next w:val="821"/>
    <w:uiPriority w:val="39"/>
    <w:qFormat/>
    <w:pPr>
      <w:jc w:val="both"/>
      <w:widowControl w:val="off"/>
    </w:pPr>
    <w:rPr>
      <w:rFonts w:hint="default" w:ascii="Times New Roman" w:hAnsi="Times New Roman" w:eastAsia="宋体" w:cs="Times New Roman"/>
      <w:sz w:val="21"/>
      <w:szCs w:val="24"/>
      <w:lang w:val="en-US" w:eastAsia="zh-CN" w:bidi="ar-SA"/>
    </w:rPr>
  </w:style>
  <w:style w:type="character" w:styleId="1187" w:customStyle="1">
    <w:name w:val="font01"/>
    <w:uiPriority w:val="0"/>
    <w:qFormat/>
    <w:rPr>
      <w:rFonts w:hint="eastAsia" w:ascii="宋体" w:hAnsi="宋体" w:eastAsia="宋体" w:cs="宋体"/>
      <w:color w:val="000000"/>
      <w:sz w:val="24"/>
      <w:szCs w:val="24"/>
      <w:u w:val="none"/>
    </w:rPr>
  </w:style>
  <w:style w:type="numbering" w:styleId="88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蒋旭</cp:lastModifiedBy>
  <cp:revision>12</cp:revision>
  <dcterms:created xsi:type="dcterms:W3CDTF">2023-11-17T22:31:00Z</dcterms:created>
  <dcterms:modified xsi:type="dcterms:W3CDTF">2025-11-21T03:13:04Z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3759A830892846E98636856F57CA9CCB_13</vt:lpwstr>
  </property>
  <property fmtid="{D5CDD505-2E9C-101B-9397-08002B2CF9AE}" pid="4" name="KSOTemplateDocerSaveRecord">
    <vt:lpwstr>eyJoZGlkIjoiMGEzMGM1N2JmZjZhM2JlM2QzNzBiYjA5OWVmNjliMTAiLCJ1c2VySWQiOiIxNTQwMDEwMjkwIn0=</vt:lpwstr>
  </property>
</Properties>
</file>